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1F8" w:rsidRDefault="0050194C" w:rsidP="007A71F8">
      <w:pPr>
        <w:pStyle w:val="Heading1"/>
        <w:numPr>
          <w:ilvl w:val="0"/>
          <w:numId w:val="0"/>
        </w:numPr>
        <w:rPr>
          <w:rFonts w:eastAsiaTheme="minorHAnsi"/>
        </w:rPr>
      </w:pPr>
      <w:bookmarkStart w:id="0" w:name="_Ref307580882"/>
      <w:r w:rsidRPr="00312DEB">
        <w:rPr>
          <w:rFonts w:eastAsiaTheme="minorHAnsi"/>
        </w:rPr>
        <w:t>Appendix</w:t>
      </w:r>
      <w:r w:rsidR="007A71F8">
        <w:rPr>
          <w:rFonts w:eastAsiaTheme="minorHAnsi"/>
        </w:rPr>
        <w:t xml:space="preserve"> </w:t>
      </w:r>
      <w:r w:rsidRPr="00312DEB">
        <w:rPr>
          <w:rFonts w:eastAsiaTheme="minorHAnsi"/>
        </w:rPr>
        <w:t>A</w:t>
      </w:r>
      <w:r w:rsidR="007A71F8">
        <w:rPr>
          <w:rFonts w:eastAsiaTheme="minorHAnsi"/>
        </w:rPr>
        <w:t>-3</w:t>
      </w:r>
      <w:bookmarkEnd w:id="0"/>
    </w:p>
    <w:p w:rsidR="007A71F8" w:rsidRDefault="007A71F8" w:rsidP="007A71F8">
      <w:pPr>
        <w:pStyle w:val="Heading1"/>
        <w:numPr>
          <w:ilvl w:val="0"/>
          <w:numId w:val="0"/>
        </w:numPr>
        <w:rPr>
          <w:rFonts w:eastAsiaTheme="minorHAnsi"/>
        </w:rPr>
      </w:pPr>
      <w:r>
        <w:rPr>
          <w:rFonts w:eastAsiaTheme="minorHAnsi"/>
        </w:rPr>
        <w:t>Commercial HVAC</w:t>
      </w:r>
    </w:p>
    <w:p w:rsidR="00B253DF" w:rsidRPr="00312DEB" w:rsidRDefault="007A71F8" w:rsidP="007A71F8">
      <w:pPr>
        <w:pStyle w:val="Caption"/>
        <w:rPr>
          <w:rFonts w:eastAsiaTheme="minorHAnsi"/>
        </w:rPr>
      </w:pPr>
      <w:r>
        <w:t xml:space="preserve">Table –A-3-1: </w:t>
      </w:r>
      <w:r w:rsidR="004C4005" w:rsidRPr="00312DEB">
        <w:rPr>
          <w:rFonts w:eastAsiaTheme="minorHAnsi"/>
        </w:rPr>
        <w:t>O</w:t>
      </w:r>
      <w:r w:rsidR="0050194C" w:rsidRPr="00312DEB">
        <w:rPr>
          <w:rFonts w:eastAsiaTheme="minorHAnsi"/>
        </w:rPr>
        <w:t>ver</w:t>
      </w:r>
      <w:r w:rsidR="00B35D0F" w:rsidRPr="00312DEB">
        <w:rPr>
          <w:rFonts w:eastAsiaTheme="minorHAnsi"/>
        </w:rPr>
        <w:t>view of Methods, Data, and NTGR Results</w:t>
      </w:r>
    </w:p>
    <w:tbl>
      <w:tblPr>
        <w:tblStyle w:val="TableProfessional"/>
        <w:tblW w:w="5000" w:type="pct"/>
        <w:tblLayout w:type="fixed"/>
        <w:tblLook w:val="04A0"/>
      </w:tblPr>
      <w:tblGrid>
        <w:gridCol w:w="1368"/>
        <w:gridCol w:w="1262"/>
        <w:gridCol w:w="1170"/>
        <w:gridCol w:w="2069"/>
        <w:gridCol w:w="2970"/>
        <w:gridCol w:w="2163"/>
        <w:gridCol w:w="2174"/>
      </w:tblGrid>
      <w:tr w:rsidR="004812E2" w:rsidRPr="00FE73B0" w:rsidTr="00312DEB">
        <w:trPr>
          <w:cnfStyle w:val="100000000000"/>
          <w:cantSplit/>
          <w:trHeight w:val="206"/>
          <w:tblHeader/>
        </w:trPr>
        <w:tc>
          <w:tcPr>
            <w:tcW w:w="5000" w:type="pct"/>
            <w:gridSpan w:val="7"/>
            <w:tcBorders>
              <w:top w:val="single" w:sz="12" w:space="0" w:color="000000"/>
              <w:left w:val="single" w:sz="12" w:space="0" w:color="000000"/>
              <w:bottom w:val="single" w:sz="4" w:space="0" w:color="auto"/>
              <w:right w:val="single" w:sz="12" w:space="0" w:color="000000"/>
            </w:tcBorders>
            <w:shd w:val="solid" w:color="D9D9D9" w:themeColor="background1" w:themeShade="D9" w:fill="D9D9D9" w:themeFill="background1" w:themeFillShade="D9"/>
          </w:tcPr>
          <w:p w:rsidR="004812E2" w:rsidRPr="00FE73B0" w:rsidRDefault="001F5D99" w:rsidP="00602E28">
            <w:pPr>
              <w:keepNext/>
              <w:spacing w:before="120" w:after="120" w:line="240" w:lineRule="auto"/>
              <w:jc w:val="center"/>
              <w:rPr>
                <w:sz w:val="20"/>
                <w:szCs w:val="16"/>
              </w:rPr>
            </w:pPr>
            <w:r>
              <w:rPr>
                <w:sz w:val="20"/>
                <w:szCs w:val="16"/>
              </w:rPr>
              <w:t>DEER Update</w:t>
            </w:r>
            <w:r w:rsidR="004812E2" w:rsidRPr="00FE73B0">
              <w:rPr>
                <w:sz w:val="20"/>
                <w:szCs w:val="16"/>
              </w:rPr>
              <w:t xml:space="preserve"> Technology Group 2 – Commercial HVAC Systems and Building Envelope</w:t>
            </w:r>
          </w:p>
        </w:tc>
      </w:tr>
      <w:tr w:rsidR="004812E2" w:rsidRPr="007C77E4" w:rsidTr="00312DEB">
        <w:trPr>
          <w:cnfStyle w:val="100000000000"/>
          <w:cantSplit/>
          <w:trHeight w:val="206"/>
          <w:tblHeader/>
        </w:trPr>
        <w:tc>
          <w:tcPr>
            <w:tcW w:w="519" w:type="pct"/>
            <w:tcBorders>
              <w:top w:val="single" w:sz="4" w:space="0" w:color="auto"/>
              <w:left w:val="single" w:sz="12" w:space="0" w:color="000000"/>
              <w:bottom w:val="single" w:sz="12" w:space="0" w:color="auto"/>
              <w:right w:val="single" w:sz="6" w:space="0" w:color="D9D9D9" w:themeColor="background1" w:themeShade="D9"/>
            </w:tcBorders>
            <w:shd w:val="solid" w:color="D9D9D9" w:themeColor="background1" w:themeShade="D9" w:fill="D9D9D9" w:themeFill="background1" w:themeFillShade="D9"/>
            <w:vAlign w:val="center"/>
          </w:tcPr>
          <w:p w:rsidR="004812E2" w:rsidRPr="00312DEB" w:rsidRDefault="004812E2" w:rsidP="00312DEB">
            <w:pPr>
              <w:keepNext/>
              <w:spacing w:after="0" w:line="240" w:lineRule="auto"/>
              <w:ind w:left="113" w:right="113"/>
              <w:jc w:val="center"/>
              <w:rPr>
                <w:sz w:val="16"/>
                <w:szCs w:val="16"/>
              </w:rPr>
            </w:pPr>
            <w:r w:rsidRPr="00312DEB">
              <w:rPr>
                <w:sz w:val="16"/>
                <w:szCs w:val="16"/>
              </w:rPr>
              <w:t>EEM Categories</w:t>
            </w:r>
          </w:p>
        </w:tc>
        <w:tc>
          <w:tcPr>
            <w:tcW w:w="479" w:type="pct"/>
            <w:tcBorders>
              <w:top w:val="single" w:sz="4" w:space="0" w:color="auto"/>
              <w:left w:val="single" w:sz="6" w:space="0" w:color="D9D9D9" w:themeColor="background1" w:themeShade="D9"/>
              <w:bottom w:val="single" w:sz="12" w:space="0" w:color="auto"/>
              <w:right w:val="single" w:sz="6" w:space="0" w:color="D9D9D9" w:themeColor="background1" w:themeShade="D9"/>
            </w:tcBorders>
            <w:shd w:val="solid" w:color="D9D9D9" w:themeColor="background1" w:themeShade="D9" w:fill="D9D9D9" w:themeFill="background1" w:themeFillShade="D9"/>
            <w:vAlign w:val="center"/>
          </w:tcPr>
          <w:p w:rsidR="004812E2" w:rsidRPr="00312DEB" w:rsidRDefault="004812E2" w:rsidP="00312DEB">
            <w:pPr>
              <w:spacing w:after="0"/>
              <w:rPr>
                <w:sz w:val="16"/>
                <w:szCs w:val="16"/>
              </w:rPr>
            </w:pPr>
            <w:r w:rsidRPr="00312DEB">
              <w:rPr>
                <w:sz w:val="16"/>
                <w:szCs w:val="16"/>
              </w:rPr>
              <w:t>Current NTGR Values</w:t>
            </w:r>
            <w:r w:rsidRPr="00312DEB">
              <w:rPr>
                <w:sz w:val="16"/>
                <w:szCs w:val="16"/>
                <w:vertAlign w:val="superscript"/>
              </w:rPr>
              <w:t>*</w:t>
            </w:r>
          </w:p>
        </w:tc>
        <w:tc>
          <w:tcPr>
            <w:tcW w:w="444" w:type="pct"/>
            <w:tcBorders>
              <w:top w:val="single" w:sz="4" w:space="0" w:color="auto"/>
              <w:left w:val="single" w:sz="6" w:space="0" w:color="D9D9D9" w:themeColor="background1" w:themeShade="D9"/>
              <w:bottom w:val="single" w:sz="12" w:space="0" w:color="auto"/>
              <w:right w:val="single" w:sz="6" w:space="0" w:color="D9D9D9" w:themeColor="background1" w:themeShade="D9"/>
            </w:tcBorders>
            <w:shd w:val="solid" w:color="D9D9D9" w:themeColor="background1" w:themeShade="D9" w:fill="D9D9D9" w:themeFill="background1" w:themeFillShade="D9"/>
            <w:vAlign w:val="center"/>
          </w:tcPr>
          <w:p w:rsidR="004812E2" w:rsidRPr="00312DEB" w:rsidRDefault="004812E2" w:rsidP="00312DEB">
            <w:pPr>
              <w:keepNext/>
              <w:spacing w:after="0" w:line="240" w:lineRule="auto"/>
              <w:jc w:val="center"/>
              <w:rPr>
                <w:sz w:val="16"/>
                <w:szCs w:val="16"/>
              </w:rPr>
            </w:pPr>
            <w:r w:rsidRPr="00312DEB">
              <w:rPr>
                <w:sz w:val="16"/>
                <w:szCs w:val="16"/>
              </w:rPr>
              <w:t>Program Delivery Approach</w:t>
            </w:r>
          </w:p>
        </w:tc>
        <w:tc>
          <w:tcPr>
            <w:tcW w:w="785" w:type="pct"/>
            <w:tcBorders>
              <w:top w:val="single" w:sz="4" w:space="0" w:color="auto"/>
              <w:left w:val="single" w:sz="6" w:space="0" w:color="D9D9D9" w:themeColor="background1" w:themeShade="D9"/>
              <w:bottom w:val="single" w:sz="12" w:space="0" w:color="auto"/>
              <w:right w:val="single" w:sz="6" w:space="0" w:color="D9D9D9" w:themeColor="background1" w:themeShade="D9"/>
            </w:tcBorders>
            <w:shd w:val="solid" w:color="D9D9D9" w:themeColor="background1" w:themeShade="D9" w:fill="D9D9D9" w:themeFill="background1" w:themeFillShade="D9"/>
            <w:vAlign w:val="center"/>
          </w:tcPr>
          <w:p w:rsidR="004812E2" w:rsidRPr="00312DEB" w:rsidRDefault="004812E2" w:rsidP="00312DEB">
            <w:pPr>
              <w:keepNext/>
              <w:spacing w:after="0" w:line="240" w:lineRule="auto"/>
              <w:jc w:val="center"/>
              <w:rPr>
                <w:sz w:val="16"/>
                <w:szCs w:val="16"/>
              </w:rPr>
            </w:pPr>
            <w:r w:rsidRPr="00312DEB">
              <w:rPr>
                <w:sz w:val="16"/>
                <w:szCs w:val="16"/>
              </w:rPr>
              <w:t>Data Sources</w:t>
            </w:r>
          </w:p>
        </w:tc>
        <w:tc>
          <w:tcPr>
            <w:tcW w:w="1127" w:type="pct"/>
            <w:tcBorders>
              <w:top w:val="single" w:sz="4" w:space="0" w:color="auto"/>
              <w:left w:val="single" w:sz="6" w:space="0" w:color="D9D9D9" w:themeColor="background1" w:themeShade="D9"/>
              <w:bottom w:val="single" w:sz="12" w:space="0" w:color="auto"/>
              <w:right w:val="single" w:sz="6" w:space="0" w:color="D9D9D9" w:themeColor="background1" w:themeShade="D9"/>
            </w:tcBorders>
            <w:shd w:val="solid" w:color="D9D9D9" w:themeColor="background1" w:themeShade="D9" w:fill="D9D9D9" w:themeFill="background1" w:themeFillShade="D9"/>
            <w:vAlign w:val="center"/>
          </w:tcPr>
          <w:p w:rsidR="004812E2" w:rsidRPr="00312DEB" w:rsidRDefault="004812E2" w:rsidP="00312DEB">
            <w:pPr>
              <w:keepNext/>
              <w:spacing w:after="0" w:line="240" w:lineRule="auto"/>
              <w:jc w:val="center"/>
              <w:rPr>
                <w:sz w:val="16"/>
                <w:szCs w:val="16"/>
              </w:rPr>
            </w:pPr>
            <w:r w:rsidRPr="00312DEB">
              <w:rPr>
                <w:sz w:val="16"/>
                <w:szCs w:val="16"/>
              </w:rPr>
              <w:t>NTGR Values from Data Sources</w:t>
            </w:r>
          </w:p>
        </w:tc>
        <w:tc>
          <w:tcPr>
            <w:tcW w:w="821" w:type="pct"/>
            <w:tcBorders>
              <w:top w:val="single" w:sz="4" w:space="0" w:color="auto"/>
              <w:left w:val="single" w:sz="6" w:space="0" w:color="D9D9D9" w:themeColor="background1" w:themeShade="D9"/>
              <w:bottom w:val="single" w:sz="12" w:space="0" w:color="auto"/>
              <w:right w:val="single" w:sz="4" w:space="0" w:color="auto"/>
            </w:tcBorders>
            <w:shd w:val="solid" w:color="D9D9D9" w:themeColor="background1" w:themeShade="D9" w:fill="D9D9D9" w:themeFill="background1" w:themeFillShade="D9"/>
            <w:vAlign w:val="center"/>
          </w:tcPr>
          <w:p w:rsidR="004812E2" w:rsidRPr="00312DEB" w:rsidRDefault="004812E2" w:rsidP="00312DEB">
            <w:pPr>
              <w:keepNext/>
              <w:spacing w:after="0" w:line="240" w:lineRule="auto"/>
              <w:jc w:val="center"/>
              <w:rPr>
                <w:sz w:val="16"/>
                <w:szCs w:val="16"/>
              </w:rPr>
            </w:pPr>
            <w:r w:rsidRPr="00312DEB">
              <w:rPr>
                <w:sz w:val="16"/>
                <w:szCs w:val="16"/>
              </w:rPr>
              <w:t>Methods Used in Data Sources to Estimate the NTGR Values</w:t>
            </w:r>
          </w:p>
        </w:tc>
        <w:tc>
          <w:tcPr>
            <w:tcW w:w="825" w:type="pct"/>
            <w:tcBorders>
              <w:top w:val="single" w:sz="4" w:space="0" w:color="auto"/>
              <w:left w:val="single" w:sz="6" w:space="0" w:color="D9D9D9" w:themeColor="background1" w:themeShade="D9"/>
              <w:bottom w:val="single" w:sz="12" w:space="0" w:color="auto"/>
              <w:right w:val="single" w:sz="12" w:space="0" w:color="000000"/>
            </w:tcBorders>
            <w:shd w:val="solid" w:color="D9D9D9" w:themeColor="background1" w:themeShade="D9" w:fill="D9D9D9" w:themeFill="background1" w:themeFillShade="D9"/>
            <w:vAlign w:val="center"/>
          </w:tcPr>
          <w:p w:rsidR="001F5D99" w:rsidRPr="00312DEB" w:rsidRDefault="004812E2" w:rsidP="00312DEB">
            <w:pPr>
              <w:keepNext/>
              <w:spacing w:after="0" w:line="240" w:lineRule="auto"/>
              <w:jc w:val="center"/>
              <w:rPr>
                <w:sz w:val="16"/>
                <w:szCs w:val="16"/>
              </w:rPr>
            </w:pPr>
            <w:r w:rsidRPr="00312DEB">
              <w:rPr>
                <w:sz w:val="16"/>
                <w:szCs w:val="16"/>
              </w:rPr>
              <w:t xml:space="preserve">Proposed </w:t>
            </w:r>
            <w:r w:rsidR="001F5D99" w:rsidRPr="00312DEB">
              <w:rPr>
                <w:sz w:val="16"/>
                <w:szCs w:val="16"/>
              </w:rPr>
              <w:t>NTGR Value</w:t>
            </w:r>
          </w:p>
          <w:p w:rsidR="004812E2" w:rsidRPr="00312DEB" w:rsidRDefault="00862E8B" w:rsidP="00312DEB">
            <w:pPr>
              <w:keepNext/>
              <w:spacing w:after="0" w:line="240" w:lineRule="auto"/>
              <w:jc w:val="center"/>
              <w:rPr>
                <w:sz w:val="16"/>
                <w:szCs w:val="16"/>
              </w:rPr>
            </w:pPr>
            <w:r w:rsidRPr="00312DEB">
              <w:rPr>
                <w:sz w:val="16"/>
                <w:szCs w:val="16"/>
              </w:rPr>
              <w:t>Estimate for 2011</w:t>
            </w:r>
          </w:p>
        </w:tc>
      </w:tr>
      <w:tr w:rsidR="004812E2" w:rsidRPr="00EB70A9" w:rsidTr="00312DEB">
        <w:trPr>
          <w:trHeight w:val="322"/>
        </w:trPr>
        <w:tc>
          <w:tcPr>
            <w:tcW w:w="519" w:type="pct"/>
            <w:tcBorders>
              <w:top w:val="single" w:sz="12" w:space="0" w:color="auto"/>
              <w:left w:val="single" w:sz="12" w:space="0" w:color="000000"/>
            </w:tcBorders>
            <w:vAlign w:val="center"/>
          </w:tcPr>
          <w:p w:rsidR="004812E2" w:rsidRPr="00380045" w:rsidRDefault="004812E2" w:rsidP="00F23F44">
            <w:pPr>
              <w:spacing w:after="0" w:line="240" w:lineRule="auto"/>
              <w:jc w:val="left"/>
              <w:rPr>
                <w:sz w:val="16"/>
                <w:szCs w:val="16"/>
              </w:rPr>
            </w:pPr>
            <w:r w:rsidRPr="00380045">
              <w:rPr>
                <w:sz w:val="16"/>
                <w:szCs w:val="16"/>
              </w:rPr>
              <w:t>HVAC Maintenance: Refrigerant Charge Adjustment</w:t>
            </w:r>
          </w:p>
        </w:tc>
        <w:tc>
          <w:tcPr>
            <w:tcW w:w="479" w:type="pct"/>
            <w:tcBorders>
              <w:top w:val="single" w:sz="12" w:space="0" w:color="auto"/>
            </w:tcBorders>
            <w:vAlign w:val="center"/>
          </w:tcPr>
          <w:p w:rsidR="004812E2" w:rsidRDefault="004812E2" w:rsidP="00F23F44">
            <w:pPr>
              <w:spacing w:after="0" w:line="240" w:lineRule="auto"/>
              <w:jc w:val="left"/>
              <w:rPr>
                <w:sz w:val="16"/>
                <w:szCs w:val="16"/>
              </w:rPr>
            </w:pPr>
            <w:r>
              <w:rPr>
                <w:sz w:val="16"/>
                <w:szCs w:val="16"/>
              </w:rPr>
              <w:t>No specific DEER value listed for this EEM and delivery approach.  The default value of 0.70 for EEMs not otherwise addressed with no convincing strategies to reduce free-ridership may apply.</w:t>
            </w:r>
          </w:p>
        </w:tc>
        <w:tc>
          <w:tcPr>
            <w:tcW w:w="444" w:type="pct"/>
            <w:tcBorders>
              <w:top w:val="single" w:sz="12" w:space="0" w:color="auto"/>
            </w:tcBorders>
            <w:vAlign w:val="center"/>
          </w:tcPr>
          <w:p w:rsidR="004812E2" w:rsidRPr="002F22D5" w:rsidRDefault="004812E2" w:rsidP="00F23F44">
            <w:pPr>
              <w:spacing w:after="0" w:line="240" w:lineRule="auto"/>
              <w:jc w:val="left"/>
              <w:rPr>
                <w:sz w:val="16"/>
                <w:szCs w:val="16"/>
              </w:rPr>
            </w:pPr>
            <w:r>
              <w:rPr>
                <w:sz w:val="16"/>
                <w:szCs w:val="16"/>
              </w:rPr>
              <w:t>Midstream</w:t>
            </w:r>
          </w:p>
        </w:tc>
        <w:tc>
          <w:tcPr>
            <w:tcW w:w="785" w:type="pct"/>
            <w:tcBorders>
              <w:top w:val="single" w:sz="12" w:space="0" w:color="auto"/>
            </w:tcBorders>
            <w:vAlign w:val="center"/>
          </w:tcPr>
          <w:p w:rsidR="004812E2" w:rsidRPr="002F22D5" w:rsidRDefault="004812E2" w:rsidP="00F23F44">
            <w:pPr>
              <w:spacing w:after="0" w:line="240" w:lineRule="auto"/>
              <w:jc w:val="left"/>
              <w:rPr>
                <w:sz w:val="16"/>
                <w:szCs w:val="16"/>
              </w:rPr>
            </w:pPr>
            <w:r w:rsidRPr="00E03396">
              <w:rPr>
                <w:sz w:val="16"/>
                <w:szCs w:val="16"/>
              </w:rPr>
              <w:t>Evaluation Measurement and Verification of the California Public Utilities Commission HVAC High Impact Measures and Specialized Commercial Contract Group Programs, 2006 – 2008 Program Year, Final Consultant Report, Volumes 1 and 2, KEMA, February 10, 2010</w:t>
            </w:r>
          </w:p>
        </w:tc>
        <w:tc>
          <w:tcPr>
            <w:tcW w:w="1127" w:type="pct"/>
            <w:tcBorders>
              <w:top w:val="single" w:sz="12" w:space="0" w:color="auto"/>
            </w:tcBorders>
            <w:vAlign w:val="center"/>
          </w:tcPr>
          <w:p w:rsidR="004812E2" w:rsidRDefault="004812E2" w:rsidP="00F23F44">
            <w:pPr>
              <w:spacing w:after="0" w:line="240" w:lineRule="auto"/>
              <w:jc w:val="left"/>
              <w:rPr>
                <w:sz w:val="16"/>
                <w:szCs w:val="16"/>
              </w:rPr>
            </w:pPr>
            <w:r>
              <w:rPr>
                <w:sz w:val="16"/>
                <w:szCs w:val="16"/>
              </w:rPr>
              <w:t>The study evaluated four IOU programs.  The study indicates that the IOU programs used an NTGR of 0.85 for this EEM in ’06-‘08.  The results varied among IOU programs as followed:</w:t>
            </w:r>
          </w:p>
          <w:p w:rsidR="004812E2" w:rsidRDefault="004812E2" w:rsidP="00F23F44">
            <w:pPr>
              <w:spacing w:after="0" w:line="240" w:lineRule="auto"/>
              <w:jc w:val="left"/>
              <w:rPr>
                <w:sz w:val="16"/>
                <w:szCs w:val="16"/>
              </w:rPr>
            </w:pPr>
          </w:p>
          <w:p w:rsidR="004812E2" w:rsidRPr="00F23F44" w:rsidRDefault="004812E2" w:rsidP="00F23F44">
            <w:pPr>
              <w:tabs>
                <w:tab w:val="left" w:pos="969"/>
                <w:tab w:val="left" w:pos="1599"/>
              </w:tabs>
              <w:spacing w:after="0" w:line="240" w:lineRule="auto"/>
              <w:jc w:val="left"/>
              <w:rPr>
                <w:b/>
                <w:sz w:val="16"/>
                <w:szCs w:val="16"/>
              </w:rPr>
            </w:pPr>
            <w:r>
              <w:rPr>
                <w:sz w:val="16"/>
                <w:szCs w:val="16"/>
              </w:rPr>
              <w:tab/>
            </w:r>
            <w:r w:rsidRPr="00F23F44">
              <w:rPr>
                <w:b/>
                <w:sz w:val="16"/>
                <w:szCs w:val="16"/>
              </w:rPr>
              <w:t>NTGR</w:t>
            </w:r>
            <w:r w:rsidRPr="00F23F44">
              <w:rPr>
                <w:b/>
                <w:sz w:val="16"/>
                <w:szCs w:val="16"/>
              </w:rPr>
              <w:tab/>
              <w:t>Sample Size</w:t>
            </w:r>
          </w:p>
          <w:p w:rsidR="004812E2" w:rsidRDefault="004812E2" w:rsidP="00F23F44">
            <w:pPr>
              <w:tabs>
                <w:tab w:val="decimal" w:pos="696"/>
                <w:tab w:val="decimal" w:pos="1151"/>
                <w:tab w:val="decimal" w:pos="2051"/>
              </w:tabs>
              <w:spacing w:after="0" w:line="240" w:lineRule="auto"/>
              <w:jc w:val="left"/>
              <w:rPr>
                <w:sz w:val="16"/>
                <w:szCs w:val="16"/>
              </w:rPr>
            </w:pPr>
            <w:r>
              <w:rPr>
                <w:sz w:val="16"/>
                <w:szCs w:val="16"/>
              </w:rPr>
              <w:t>PG&amp;E2068</w:t>
            </w:r>
            <w:r>
              <w:rPr>
                <w:sz w:val="16"/>
                <w:szCs w:val="16"/>
              </w:rPr>
              <w:tab/>
              <w:t>0.54</w:t>
            </w:r>
            <w:r>
              <w:rPr>
                <w:sz w:val="16"/>
                <w:szCs w:val="16"/>
              </w:rPr>
              <w:tab/>
              <w:t>122</w:t>
            </w:r>
          </w:p>
          <w:p w:rsidR="004812E2" w:rsidRDefault="004812E2" w:rsidP="00F23F44">
            <w:pPr>
              <w:tabs>
                <w:tab w:val="decimal" w:pos="696"/>
                <w:tab w:val="decimal" w:pos="1151"/>
                <w:tab w:val="decimal" w:pos="2051"/>
              </w:tabs>
              <w:spacing w:after="0" w:line="240" w:lineRule="auto"/>
              <w:jc w:val="left"/>
              <w:rPr>
                <w:sz w:val="16"/>
                <w:szCs w:val="16"/>
              </w:rPr>
            </w:pPr>
            <w:r>
              <w:rPr>
                <w:sz w:val="16"/>
                <w:szCs w:val="16"/>
              </w:rPr>
              <w:t>PG&amp;E2080</w:t>
            </w:r>
            <w:r>
              <w:rPr>
                <w:sz w:val="16"/>
                <w:szCs w:val="16"/>
              </w:rPr>
              <w:tab/>
              <w:t>0.55</w:t>
            </w:r>
            <w:r>
              <w:rPr>
                <w:sz w:val="16"/>
                <w:szCs w:val="16"/>
              </w:rPr>
              <w:tab/>
              <w:t>92</w:t>
            </w:r>
          </w:p>
          <w:p w:rsidR="004812E2" w:rsidRDefault="004812E2" w:rsidP="00F23F44">
            <w:pPr>
              <w:tabs>
                <w:tab w:val="decimal" w:pos="696"/>
                <w:tab w:val="decimal" w:pos="1151"/>
                <w:tab w:val="decimal" w:pos="2051"/>
              </w:tabs>
              <w:spacing w:after="0" w:line="240" w:lineRule="auto"/>
              <w:jc w:val="left"/>
              <w:rPr>
                <w:sz w:val="16"/>
                <w:szCs w:val="16"/>
              </w:rPr>
            </w:pPr>
            <w:r>
              <w:rPr>
                <w:sz w:val="16"/>
                <w:szCs w:val="16"/>
              </w:rPr>
              <w:t>SCE2507</w:t>
            </w:r>
            <w:r>
              <w:rPr>
                <w:sz w:val="16"/>
                <w:szCs w:val="16"/>
              </w:rPr>
              <w:tab/>
            </w:r>
            <w:r>
              <w:rPr>
                <w:sz w:val="16"/>
                <w:szCs w:val="16"/>
              </w:rPr>
              <w:tab/>
              <w:t>0.94</w:t>
            </w:r>
            <w:r>
              <w:rPr>
                <w:sz w:val="16"/>
                <w:szCs w:val="16"/>
              </w:rPr>
              <w:tab/>
              <w:t>23</w:t>
            </w:r>
          </w:p>
          <w:p w:rsidR="004812E2" w:rsidRDefault="004812E2" w:rsidP="00F23F44">
            <w:pPr>
              <w:tabs>
                <w:tab w:val="decimal" w:pos="0"/>
                <w:tab w:val="decimal" w:pos="1151"/>
                <w:tab w:val="decimal" w:pos="2051"/>
              </w:tabs>
              <w:spacing w:after="0" w:line="240" w:lineRule="auto"/>
              <w:jc w:val="left"/>
              <w:rPr>
                <w:sz w:val="16"/>
                <w:szCs w:val="16"/>
              </w:rPr>
            </w:pPr>
            <w:r>
              <w:rPr>
                <w:sz w:val="16"/>
                <w:szCs w:val="16"/>
              </w:rPr>
              <w:t>SDG&amp;E3043</w:t>
            </w:r>
            <w:r>
              <w:rPr>
                <w:sz w:val="16"/>
                <w:szCs w:val="16"/>
              </w:rPr>
              <w:tab/>
              <w:t>0.70</w:t>
            </w:r>
            <w:r>
              <w:rPr>
                <w:sz w:val="16"/>
                <w:szCs w:val="16"/>
              </w:rPr>
              <w:tab/>
              <w:t>23</w:t>
            </w:r>
          </w:p>
          <w:p w:rsidR="004812E2" w:rsidRPr="002F22D5" w:rsidRDefault="004812E2" w:rsidP="00F23F44">
            <w:pPr>
              <w:tabs>
                <w:tab w:val="right" w:pos="1692"/>
                <w:tab w:val="decimal" w:pos="2051"/>
              </w:tabs>
              <w:spacing w:after="0" w:line="240" w:lineRule="auto"/>
              <w:jc w:val="left"/>
              <w:rPr>
                <w:sz w:val="16"/>
                <w:szCs w:val="16"/>
              </w:rPr>
            </w:pPr>
            <w:r>
              <w:rPr>
                <w:sz w:val="16"/>
                <w:szCs w:val="16"/>
              </w:rPr>
              <w:tab/>
              <w:t>Total:</w:t>
            </w:r>
            <w:r>
              <w:rPr>
                <w:sz w:val="16"/>
                <w:szCs w:val="16"/>
              </w:rPr>
              <w:tab/>
              <w:t>260</w:t>
            </w:r>
          </w:p>
        </w:tc>
        <w:tc>
          <w:tcPr>
            <w:tcW w:w="821" w:type="pct"/>
            <w:tcBorders>
              <w:top w:val="single" w:sz="12" w:space="0" w:color="auto"/>
            </w:tcBorders>
            <w:vAlign w:val="center"/>
          </w:tcPr>
          <w:p w:rsidR="004812E2" w:rsidRPr="002F22D5" w:rsidRDefault="004812E2" w:rsidP="00F23F44">
            <w:pPr>
              <w:tabs>
                <w:tab w:val="decimal" w:pos="-2271"/>
                <w:tab w:val="decimal" w:pos="-1281"/>
              </w:tabs>
              <w:spacing w:after="0" w:line="240" w:lineRule="auto"/>
              <w:jc w:val="left"/>
              <w:rPr>
                <w:sz w:val="16"/>
                <w:szCs w:val="16"/>
              </w:rPr>
            </w:pPr>
            <w:r>
              <w:rPr>
                <w:sz w:val="16"/>
                <w:szCs w:val="16"/>
              </w:rPr>
              <w:t xml:space="preserve">Modified version of the SRA since the utility programs gave contractors flexibility in terms of both marketing and incentives.  The participant surveys were supplemented with contractor surveys.  The simple NTG questionnaire included questions aimed at addressing “…the effect of acceleration on the lifetime savings stream and partial increase in efficiency levels or quantities of efficient measures.”  </w:t>
            </w:r>
          </w:p>
        </w:tc>
        <w:tc>
          <w:tcPr>
            <w:tcW w:w="825" w:type="pct"/>
            <w:tcBorders>
              <w:top w:val="single" w:sz="12" w:space="0" w:color="auto"/>
              <w:right w:val="single" w:sz="12" w:space="0" w:color="000000"/>
            </w:tcBorders>
            <w:vAlign w:val="center"/>
          </w:tcPr>
          <w:p w:rsidR="004812E2" w:rsidRDefault="004812E2" w:rsidP="00F23F44">
            <w:pPr>
              <w:tabs>
                <w:tab w:val="decimal" w:pos="-2271"/>
                <w:tab w:val="decimal" w:pos="-1281"/>
              </w:tabs>
              <w:spacing w:after="0" w:line="240" w:lineRule="auto"/>
              <w:ind w:firstLine="158"/>
              <w:jc w:val="left"/>
              <w:rPr>
                <w:sz w:val="16"/>
                <w:szCs w:val="16"/>
              </w:rPr>
            </w:pPr>
            <w:r>
              <w:rPr>
                <w:sz w:val="16"/>
                <w:szCs w:val="16"/>
              </w:rPr>
              <w:t xml:space="preserve">The sample sizes for the SCE and SDG&amp;E programs are too low for reliable standalone values.  Future programs are unlikely to offer the RCA EEM as a standalone measure.  Going forward, the EEM is part of the IOUs HVAC Quality Maintenance Programs.  These programs launched in June 2011.  </w:t>
            </w:r>
          </w:p>
          <w:p w:rsidR="004812E2" w:rsidRDefault="004812E2" w:rsidP="00F23F44">
            <w:pPr>
              <w:tabs>
                <w:tab w:val="decimal" w:pos="-2271"/>
                <w:tab w:val="decimal" w:pos="-1281"/>
              </w:tabs>
              <w:spacing w:after="0" w:line="240" w:lineRule="auto"/>
              <w:ind w:firstLine="158"/>
              <w:jc w:val="left"/>
              <w:rPr>
                <w:sz w:val="16"/>
                <w:szCs w:val="16"/>
              </w:rPr>
            </w:pPr>
            <w:r>
              <w:rPr>
                <w:sz w:val="16"/>
                <w:szCs w:val="16"/>
              </w:rPr>
              <w:t>There are significant uncertainties and issues that persist for this measure.  It is anticipated that the ongoing 2010-2012 EM&amp;V research efforts may address many of the issues.  Given the change in delivery approach for this measure going forward, I do not recommend that the study’s NTGR values be re-calculated at this time to remove the effects of either partial and/or deferred free-ridership.  This may be warranted only if the IOU programs intend to offer the measure standalone.</w:t>
            </w:r>
          </w:p>
          <w:p w:rsidR="004812E2" w:rsidRDefault="004812E2" w:rsidP="00F23F44">
            <w:pPr>
              <w:tabs>
                <w:tab w:val="decimal" w:pos="-2271"/>
                <w:tab w:val="decimal" w:pos="-1281"/>
              </w:tabs>
              <w:spacing w:after="0" w:line="240" w:lineRule="auto"/>
              <w:ind w:firstLine="158"/>
              <w:jc w:val="left"/>
              <w:rPr>
                <w:sz w:val="16"/>
                <w:szCs w:val="16"/>
              </w:rPr>
            </w:pPr>
            <w:r>
              <w:rPr>
                <w:sz w:val="16"/>
                <w:szCs w:val="16"/>
              </w:rPr>
              <w:t xml:space="preserve">The program level NTGR values yields a kWh weighted value of 0.79 and a kW </w:t>
            </w:r>
            <w:r>
              <w:rPr>
                <w:sz w:val="16"/>
                <w:szCs w:val="16"/>
              </w:rPr>
              <w:lastRenderedPageBreak/>
              <w:t>weighted value of 0.66. The combined weighted average is 0.73 rounded-up.</w:t>
            </w:r>
          </w:p>
          <w:p w:rsidR="004812E2" w:rsidRDefault="004812E2" w:rsidP="00F23F44">
            <w:pPr>
              <w:tabs>
                <w:tab w:val="decimal" w:pos="-2271"/>
                <w:tab w:val="decimal" w:pos="-1281"/>
              </w:tabs>
              <w:spacing w:after="0" w:line="240" w:lineRule="auto"/>
              <w:ind w:firstLine="158"/>
              <w:jc w:val="left"/>
              <w:rPr>
                <w:b/>
                <w:sz w:val="16"/>
                <w:szCs w:val="16"/>
              </w:rPr>
            </w:pPr>
            <w:r w:rsidRPr="00CB687B">
              <w:rPr>
                <w:b/>
                <w:sz w:val="16"/>
                <w:szCs w:val="16"/>
              </w:rPr>
              <w:t xml:space="preserve">Recommend that </w:t>
            </w:r>
            <w:r>
              <w:rPr>
                <w:b/>
                <w:sz w:val="16"/>
                <w:szCs w:val="16"/>
              </w:rPr>
              <w:t xml:space="preserve">the program level weighted average </w:t>
            </w:r>
            <w:r w:rsidRPr="00CB687B">
              <w:rPr>
                <w:b/>
                <w:sz w:val="16"/>
                <w:szCs w:val="16"/>
              </w:rPr>
              <w:t xml:space="preserve">value </w:t>
            </w:r>
            <w:r>
              <w:rPr>
                <w:b/>
                <w:sz w:val="16"/>
                <w:szCs w:val="16"/>
              </w:rPr>
              <w:t>of 0.73</w:t>
            </w:r>
            <w:r w:rsidRPr="00CB687B">
              <w:rPr>
                <w:b/>
                <w:sz w:val="16"/>
                <w:szCs w:val="16"/>
              </w:rPr>
              <w:t xml:space="preserve"> be </w:t>
            </w:r>
            <w:r>
              <w:rPr>
                <w:b/>
                <w:sz w:val="16"/>
                <w:szCs w:val="16"/>
              </w:rPr>
              <w:t>used</w:t>
            </w:r>
            <w:r w:rsidRPr="00CB687B">
              <w:rPr>
                <w:b/>
                <w:sz w:val="16"/>
                <w:szCs w:val="16"/>
              </w:rPr>
              <w:t xml:space="preserve"> for the </w:t>
            </w:r>
            <w:r>
              <w:rPr>
                <w:b/>
                <w:sz w:val="16"/>
                <w:szCs w:val="16"/>
              </w:rPr>
              <w:t xml:space="preserve">standalone </w:t>
            </w:r>
            <w:r w:rsidRPr="00CB687B">
              <w:rPr>
                <w:b/>
                <w:sz w:val="16"/>
                <w:szCs w:val="16"/>
              </w:rPr>
              <w:t xml:space="preserve">RCA </w:t>
            </w:r>
            <w:r>
              <w:rPr>
                <w:b/>
                <w:sz w:val="16"/>
                <w:szCs w:val="16"/>
              </w:rPr>
              <w:t>measure</w:t>
            </w:r>
            <w:r w:rsidRPr="00CB687B">
              <w:rPr>
                <w:b/>
                <w:sz w:val="16"/>
                <w:szCs w:val="16"/>
              </w:rPr>
              <w:t xml:space="preserve">, </w:t>
            </w:r>
            <w:r>
              <w:rPr>
                <w:b/>
                <w:sz w:val="16"/>
                <w:szCs w:val="16"/>
              </w:rPr>
              <w:t>m</w:t>
            </w:r>
            <w:r w:rsidRPr="00CB687B">
              <w:rPr>
                <w:b/>
                <w:sz w:val="16"/>
                <w:szCs w:val="16"/>
              </w:rPr>
              <w:t xml:space="preserve">idstream </w:t>
            </w:r>
            <w:r>
              <w:rPr>
                <w:b/>
                <w:sz w:val="16"/>
                <w:szCs w:val="16"/>
              </w:rPr>
              <w:t>d</w:t>
            </w:r>
            <w:r w:rsidRPr="00CB687B">
              <w:rPr>
                <w:b/>
                <w:sz w:val="16"/>
                <w:szCs w:val="16"/>
              </w:rPr>
              <w:t>elivery approach.</w:t>
            </w:r>
            <w:r>
              <w:rPr>
                <w:b/>
                <w:sz w:val="16"/>
                <w:szCs w:val="16"/>
              </w:rPr>
              <w:t xml:space="preserve">  </w:t>
            </w:r>
          </w:p>
          <w:p w:rsidR="00F23F44" w:rsidRPr="00F23F44" w:rsidRDefault="00F23F44" w:rsidP="00F23F44">
            <w:pPr>
              <w:tabs>
                <w:tab w:val="decimal" w:pos="-2271"/>
                <w:tab w:val="decimal" w:pos="-1281"/>
              </w:tabs>
              <w:spacing w:after="0" w:line="240" w:lineRule="auto"/>
              <w:ind w:firstLine="158"/>
              <w:jc w:val="left"/>
              <w:rPr>
                <w:sz w:val="16"/>
                <w:szCs w:val="16"/>
              </w:rPr>
            </w:pPr>
          </w:p>
        </w:tc>
      </w:tr>
      <w:tr w:rsidR="004812E2" w:rsidRPr="00410CDB" w:rsidTr="00312DEB">
        <w:trPr>
          <w:trHeight w:val="322"/>
        </w:trPr>
        <w:tc>
          <w:tcPr>
            <w:tcW w:w="519" w:type="pct"/>
            <w:tcBorders>
              <w:left w:val="single" w:sz="12" w:space="0" w:color="000000"/>
            </w:tcBorders>
            <w:vAlign w:val="center"/>
          </w:tcPr>
          <w:p w:rsidR="004812E2" w:rsidRPr="00380045" w:rsidRDefault="004812E2" w:rsidP="00F23F44">
            <w:pPr>
              <w:spacing w:after="0" w:line="240" w:lineRule="auto"/>
              <w:jc w:val="left"/>
              <w:rPr>
                <w:sz w:val="16"/>
                <w:szCs w:val="16"/>
              </w:rPr>
            </w:pPr>
            <w:r w:rsidRPr="00380045">
              <w:rPr>
                <w:sz w:val="16"/>
                <w:szCs w:val="16"/>
              </w:rPr>
              <w:lastRenderedPageBreak/>
              <w:t>RCx Packages</w:t>
            </w:r>
          </w:p>
        </w:tc>
        <w:tc>
          <w:tcPr>
            <w:tcW w:w="479" w:type="pct"/>
            <w:vAlign w:val="center"/>
          </w:tcPr>
          <w:p w:rsidR="004812E2" w:rsidRDefault="004812E2" w:rsidP="00F23F44">
            <w:pPr>
              <w:spacing w:after="0" w:line="240" w:lineRule="auto"/>
              <w:jc w:val="left"/>
              <w:rPr>
                <w:sz w:val="16"/>
                <w:szCs w:val="16"/>
              </w:rPr>
            </w:pPr>
            <w:r>
              <w:rPr>
                <w:sz w:val="16"/>
                <w:szCs w:val="16"/>
              </w:rPr>
              <w:t>DEER lists 0.90 for electric EEMs and 1.0 for natural gas EEMs.</w:t>
            </w:r>
          </w:p>
        </w:tc>
        <w:tc>
          <w:tcPr>
            <w:tcW w:w="444" w:type="pct"/>
            <w:vAlign w:val="center"/>
          </w:tcPr>
          <w:p w:rsidR="004812E2" w:rsidRDefault="004812E2" w:rsidP="00F23F44">
            <w:pPr>
              <w:spacing w:after="0" w:line="240" w:lineRule="auto"/>
              <w:rPr>
                <w:sz w:val="16"/>
                <w:szCs w:val="16"/>
              </w:rPr>
            </w:pPr>
            <w:r>
              <w:rPr>
                <w:sz w:val="16"/>
                <w:szCs w:val="16"/>
              </w:rPr>
              <w:t>Downstream, Customized Incentives</w:t>
            </w:r>
          </w:p>
        </w:tc>
        <w:tc>
          <w:tcPr>
            <w:tcW w:w="785" w:type="pct"/>
            <w:vAlign w:val="center"/>
          </w:tcPr>
          <w:p w:rsidR="004812E2" w:rsidRPr="002F22D5" w:rsidRDefault="004812E2" w:rsidP="00F23F44">
            <w:pPr>
              <w:spacing w:after="0" w:line="240" w:lineRule="auto"/>
              <w:jc w:val="left"/>
              <w:rPr>
                <w:sz w:val="16"/>
                <w:szCs w:val="16"/>
              </w:rPr>
            </w:pPr>
            <w:r w:rsidRPr="00656242">
              <w:rPr>
                <w:sz w:val="16"/>
                <w:szCs w:val="16"/>
              </w:rPr>
              <w:t>2006 – 08 Retro-Commissioning Impact Evaluation, Final Report, SBW Consulting, Inc., February 8, 2010</w:t>
            </w:r>
          </w:p>
        </w:tc>
        <w:tc>
          <w:tcPr>
            <w:tcW w:w="1127" w:type="pct"/>
            <w:vAlign w:val="center"/>
          </w:tcPr>
          <w:p w:rsidR="004812E2" w:rsidRDefault="004812E2" w:rsidP="00F23F44">
            <w:pPr>
              <w:spacing w:after="0" w:line="240" w:lineRule="auto"/>
              <w:jc w:val="left"/>
              <w:rPr>
                <w:sz w:val="16"/>
                <w:szCs w:val="16"/>
              </w:rPr>
            </w:pPr>
            <w:r>
              <w:rPr>
                <w:sz w:val="16"/>
                <w:szCs w:val="16"/>
              </w:rPr>
              <w:t xml:space="preserve">The evaluation </w:t>
            </w:r>
            <w:r w:rsidRPr="00D674CE">
              <w:rPr>
                <w:sz w:val="16"/>
                <w:szCs w:val="16"/>
              </w:rPr>
              <w:t xml:space="preserve">inspected and tested measures at sites that participated in RCx programs as part of </w:t>
            </w:r>
            <w:r>
              <w:rPr>
                <w:sz w:val="16"/>
                <w:szCs w:val="16"/>
              </w:rPr>
              <w:t xml:space="preserve">either the </w:t>
            </w:r>
            <w:r w:rsidRPr="00D674CE">
              <w:rPr>
                <w:sz w:val="16"/>
                <w:szCs w:val="16"/>
              </w:rPr>
              <w:t>2002–03 or 2004–05 program cycles</w:t>
            </w:r>
            <w:r>
              <w:rPr>
                <w:sz w:val="16"/>
                <w:szCs w:val="16"/>
              </w:rPr>
              <w:t>.  The study determined the following NTGR values per IOU (Tables 18 through 21 in the study’s final report):</w:t>
            </w:r>
          </w:p>
          <w:p w:rsidR="004812E2" w:rsidRDefault="004812E2" w:rsidP="00F23F44">
            <w:pPr>
              <w:spacing w:after="0" w:line="240" w:lineRule="auto"/>
              <w:jc w:val="left"/>
              <w:rPr>
                <w:sz w:val="16"/>
                <w:szCs w:val="16"/>
              </w:rPr>
            </w:pPr>
          </w:p>
          <w:p w:rsidR="001F5D99" w:rsidRDefault="004812E2" w:rsidP="00F23F44">
            <w:pPr>
              <w:tabs>
                <w:tab w:val="left" w:pos="613"/>
                <w:tab w:val="left" w:pos="1063"/>
                <w:tab w:val="left" w:pos="1423"/>
                <w:tab w:val="left" w:pos="2053"/>
              </w:tabs>
              <w:spacing w:after="0" w:line="240" w:lineRule="auto"/>
              <w:jc w:val="left"/>
              <w:rPr>
                <w:b/>
                <w:sz w:val="16"/>
                <w:szCs w:val="16"/>
              </w:rPr>
            </w:pPr>
            <w:r>
              <w:rPr>
                <w:b/>
                <w:sz w:val="16"/>
                <w:szCs w:val="16"/>
              </w:rPr>
              <w:tab/>
            </w:r>
            <w:r w:rsidR="001F5D99">
              <w:rPr>
                <w:b/>
                <w:sz w:val="16"/>
                <w:szCs w:val="16"/>
              </w:rPr>
              <w:tab/>
            </w:r>
            <w:r w:rsidR="00355DD4">
              <w:rPr>
                <w:b/>
                <w:sz w:val="16"/>
                <w:szCs w:val="16"/>
              </w:rPr>
              <w:t>NTGR</w:t>
            </w:r>
            <w:r w:rsidR="001F5D99">
              <w:rPr>
                <w:b/>
                <w:sz w:val="16"/>
                <w:szCs w:val="16"/>
              </w:rPr>
              <w:tab/>
              <w:t>Sample</w:t>
            </w:r>
          </w:p>
          <w:p w:rsidR="004812E2" w:rsidRPr="00F23F44" w:rsidRDefault="001F5D99" w:rsidP="00F23F44">
            <w:pPr>
              <w:tabs>
                <w:tab w:val="left" w:pos="613"/>
                <w:tab w:val="left" w:pos="1063"/>
                <w:tab w:val="left" w:pos="1423"/>
                <w:tab w:val="left" w:pos="2053"/>
              </w:tabs>
              <w:spacing w:after="0" w:line="240" w:lineRule="auto"/>
              <w:jc w:val="left"/>
              <w:rPr>
                <w:b/>
                <w:sz w:val="16"/>
                <w:szCs w:val="16"/>
              </w:rPr>
            </w:pPr>
            <w:r>
              <w:rPr>
                <w:b/>
                <w:sz w:val="16"/>
                <w:szCs w:val="16"/>
              </w:rPr>
              <w:tab/>
              <w:t>kWh</w:t>
            </w:r>
            <w:r>
              <w:rPr>
                <w:b/>
                <w:sz w:val="16"/>
                <w:szCs w:val="16"/>
              </w:rPr>
              <w:tab/>
              <w:t>kW</w:t>
            </w:r>
            <w:r>
              <w:rPr>
                <w:b/>
                <w:sz w:val="16"/>
                <w:szCs w:val="16"/>
              </w:rPr>
              <w:tab/>
              <w:t>Therms</w:t>
            </w:r>
            <w:r>
              <w:rPr>
                <w:b/>
                <w:sz w:val="16"/>
                <w:szCs w:val="16"/>
              </w:rPr>
              <w:tab/>
            </w:r>
            <w:r w:rsidR="004812E2" w:rsidRPr="00F23F44">
              <w:rPr>
                <w:b/>
                <w:sz w:val="16"/>
                <w:szCs w:val="16"/>
              </w:rPr>
              <w:t>Size</w:t>
            </w:r>
          </w:p>
          <w:p w:rsidR="004812E2" w:rsidRDefault="004812E2" w:rsidP="001F5D99">
            <w:pPr>
              <w:tabs>
                <w:tab w:val="decimal" w:pos="687"/>
                <w:tab w:val="decimal" w:pos="1151"/>
                <w:tab w:val="decimal" w:pos="1593"/>
                <w:tab w:val="decimal" w:pos="2411"/>
              </w:tabs>
              <w:spacing w:after="0" w:line="240" w:lineRule="auto"/>
              <w:jc w:val="left"/>
              <w:rPr>
                <w:sz w:val="16"/>
                <w:szCs w:val="16"/>
              </w:rPr>
            </w:pPr>
            <w:r>
              <w:rPr>
                <w:sz w:val="16"/>
                <w:szCs w:val="16"/>
              </w:rPr>
              <w:t>PG&amp;E</w:t>
            </w:r>
            <w:r>
              <w:rPr>
                <w:sz w:val="16"/>
                <w:szCs w:val="16"/>
              </w:rPr>
              <w:tab/>
              <w:t>0.80</w:t>
            </w:r>
            <w:r>
              <w:rPr>
                <w:sz w:val="16"/>
                <w:szCs w:val="16"/>
              </w:rPr>
              <w:tab/>
              <w:t>0.76</w:t>
            </w:r>
            <w:r>
              <w:rPr>
                <w:sz w:val="16"/>
                <w:szCs w:val="16"/>
              </w:rPr>
              <w:tab/>
              <w:t>0.86</w:t>
            </w:r>
            <w:r>
              <w:rPr>
                <w:sz w:val="16"/>
                <w:szCs w:val="16"/>
              </w:rPr>
              <w:tab/>
              <w:t>73</w:t>
            </w:r>
          </w:p>
          <w:p w:rsidR="004812E2" w:rsidRDefault="004812E2" w:rsidP="001F5D99">
            <w:pPr>
              <w:tabs>
                <w:tab w:val="decimal" w:pos="687"/>
                <w:tab w:val="decimal" w:pos="1151"/>
                <w:tab w:val="decimal" w:pos="1593"/>
                <w:tab w:val="decimal" w:pos="2411"/>
              </w:tabs>
              <w:spacing w:after="0" w:line="240" w:lineRule="auto"/>
              <w:jc w:val="left"/>
              <w:rPr>
                <w:sz w:val="16"/>
                <w:szCs w:val="16"/>
              </w:rPr>
            </w:pPr>
            <w:r>
              <w:rPr>
                <w:sz w:val="16"/>
                <w:szCs w:val="16"/>
              </w:rPr>
              <w:t>SCE</w:t>
            </w:r>
            <w:r>
              <w:rPr>
                <w:sz w:val="16"/>
                <w:szCs w:val="16"/>
              </w:rPr>
              <w:tab/>
              <w:t>0.86</w:t>
            </w:r>
            <w:r>
              <w:rPr>
                <w:sz w:val="16"/>
                <w:szCs w:val="16"/>
              </w:rPr>
              <w:tab/>
              <w:t>0.78</w:t>
            </w:r>
            <w:r>
              <w:rPr>
                <w:sz w:val="16"/>
                <w:szCs w:val="16"/>
              </w:rPr>
              <w:tab/>
              <w:t>0.91</w:t>
            </w:r>
            <w:r>
              <w:rPr>
                <w:sz w:val="16"/>
                <w:szCs w:val="16"/>
              </w:rPr>
              <w:tab/>
              <w:t>29</w:t>
            </w:r>
          </w:p>
          <w:p w:rsidR="004812E2" w:rsidRDefault="004812E2" w:rsidP="001F5D99">
            <w:pPr>
              <w:tabs>
                <w:tab w:val="decimal" w:pos="687"/>
                <w:tab w:val="decimal" w:pos="1151"/>
                <w:tab w:val="decimal" w:pos="1593"/>
                <w:tab w:val="decimal" w:pos="2411"/>
              </w:tabs>
              <w:spacing w:after="0" w:line="240" w:lineRule="auto"/>
              <w:jc w:val="left"/>
              <w:rPr>
                <w:sz w:val="16"/>
                <w:szCs w:val="16"/>
              </w:rPr>
            </w:pPr>
            <w:r>
              <w:rPr>
                <w:sz w:val="16"/>
                <w:szCs w:val="16"/>
              </w:rPr>
              <w:t>SCG</w:t>
            </w:r>
            <w:r>
              <w:rPr>
                <w:sz w:val="16"/>
                <w:szCs w:val="16"/>
              </w:rPr>
              <w:tab/>
              <w:t>-</w:t>
            </w:r>
            <w:r>
              <w:rPr>
                <w:sz w:val="16"/>
                <w:szCs w:val="16"/>
              </w:rPr>
              <w:tab/>
              <w:t>-</w:t>
            </w:r>
            <w:r>
              <w:rPr>
                <w:sz w:val="16"/>
                <w:szCs w:val="16"/>
              </w:rPr>
              <w:tab/>
              <w:t>0.92</w:t>
            </w:r>
            <w:r>
              <w:rPr>
                <w:sz w:val="16"/>
                <w:szCs w:val="16"/>
              </w:rPr>
              <w:tab/>
              <w:t>15</w:t>
            </w:r>
          </w:p>
          <w:p w:rsidR="004812E2" w:rsidRDefault="004812E2" w:rsidP="001F5D99">
            <w:pPr>
              <w:tabs>
                <w:tab w:val="decimal" w:pos="141"/>
                <w:tab w:val="decimal" w:pos="703"/>
                <w:tab w:val="decimal" w:pos="1153"/>
                <w:tab w:val="decimal" w:pos="1603"/>
                <w:tab w:val="decimal" w:pos="2411"/>
              </w:tabs>
              <w:spacing w:after="0" w:line="240" w:lineRule="auto"/>
              <w:jc w:val="left"/>
              <w:rPr>
                <w:sz w:val="16"/>
                <w:szCs w:val="16"/>
              </w:rPr>
            </w:pPr>
            <w:r>
              <w:rPr>
                <w:sz w:val="16"/>
                <w:szCs w:val="16"/>
              </w:rPr>
              <w:t>SDG&amp;E</w:t>
            </w:r>
            <w:r>
              <w:rPr>
                <w:sz w:val="16"/>
                <w:szCs w:val="16"/>
              </w:rPr>
              <w:tab/>
              <w:t>0.75</w:t>
            </w:r>
            <w:r>
              <w:rPr>
                <w:sz w:val="16"/>
                <w:szCs w:val="16"/>
              </w:rPr>
              <w:tab/>
              <w:t>0.75</w:t>
            </w:r>
            <w:r>
              <w:rPr>
                <w:sz w:val="16"/>
                <w:szCs w:val="16"/>
              </w:rPr>
              <w:tab/>
              <w:t>0.68</w:t>
            </w:r>
            <w:r>
              <w:rPr>
                <w:sz w:val="16"/>
                <w:szCs w:val="16"/>
              </w:rPr>
              <w:tab/>
              <w:t>3</w:t>
            </w:r>
          </w:p>
          <w:p w:rsidR="004812E2" w:rsidRPr="002F22D5" w:rsidRDefault="004812E2" w:rsidP="001F5D99">
            <w:pPr>
              <w:tabs>
                <w:tab w:val="left" w:pos="1691"/>
                <w:tab w:val="decimal" w:pos="2411"/>
              </w:tabs>
              <w:spacing w:after="0" w:line="240" w:lineRule="auto"/>
              <w:jc w:val="left"/>
              <w:rPr>
                <w:sz w:val="16"/>
                <w:szCs w:val="16"/>
              </w:rPr>
            </w:pPr>
            <w:r>
              <w:rPr>
                <w:sz w:val="16"/>
                <w:szCs w:val="16"/>
              </w:rPr>
              <w:tab/>
              <w:t>Total:</w:t>
            </w:r>
            <w:r>
              <w:rPr>
                <w:sz w:val="16"/>
                <w:szCs w:val="16"/>
              </w:rPr>
              <w:tab/>
              <w:t>120</w:t>
            </w:r>
          </w:p>
        </w:tc>
        <w:tc>
          <w:tcPr>
            <w:tcW w:w="821" w:type="pct"/>
            <w:vAlign w:val="center"/>
          </w:tcPr>
          <w:p w:rsidR="004812E2" w:rsidRPr="00F5168A" w:rsidRDefault="004812E2" w:rsidP="00F23F44">
            <w:pPr>
              <w:spacing w:after="0" w:line="240" w:lineRule="auto"/>
              <w:jc w:val="left"/>
              <w:rPr>
                <w:sz w:val="16"/>
                <w:szCs w:val="16"/>
              </w:rPr>
            </w:pPr>
            <w:r>
              <w:rPr>
                <w:sz w:val="16"/>
                <w:szCs w:val="16"/>
              </w:rPr>
              <w:t>T</w:t>
            </w:r>
            <w:r w:rsidRPr="00F5168A">
              <w:rPr>
                <w:sz w:val="16"/>
                <w:szCs w:val="16"/>
              </w:rPr>
              <w:t xml:space="preserve">he </w:t>
            </w:r>
            <w:r>
              <w:rPr>
                <w:sz w:val="16"/>
                <w:szCs w:val="16"/>
              </w:rPr>
              <w:t xml:space="preserve">study used the </w:t>
            </w:r>
            <w:r w:rsidRPr="00F5168A">
              <w:rPr>
                <w:sz w:val="16"/>
                <w:szCs w:val="16"/>
              </w:rPr>
              <w:t xml:space="preserve">SRA </w:t>
            </w:r>
            <w:r>
              <w:rPr>
                <w:sz w:val="16"/>
                <w:szCs w:val="16"/>
              </w:rPr>
              <w:t xml:space="preserve">methodologies, specifically the Standard – Very Large NTG Method for all the impact evaluated sites and the Basic NTG Method on a random selection of additional sites to complete a 50% sample size, </w:t>
            </w:r>
            <w:r w:rsidRPr="00F5168A">
              <w:rPr>
                <w:sz w:val="16"/>
                <w:szCs w:val="16"/>
              </w:rPr>
              <w:t>to estimate project and program-level NTGRs</w:t>
            </w:r>
            <w:r>
              <w:rPr>
                <w:sz w:val="16"/>
                <w:szCs w:val="16"/>
              </w:rPr>
              <w:t xml:space="preserve">.  </w:t>
            </w:r>
            <w:r w:rsidRPr="00AE55E1">
              <w:rPr>
                <w:sz w:val="16"/>
                <w:szCs w:val="16"/>
              </w:rPr>
              <w:t xml:space="preserve">The method </w:t>
            </w:r>
            <w:r>
              <w:rPr>
                <w:sz w:val="16"/>
                <w:szCs w:val="16"/>
              </w:rPr>
              <w:t>used</w:t>
            </w:r>
            <w:r w:rsidRPr="00AE55E1">
              <w:rPr>
                <w:sz w:val="16"/>
                <w:szCs w:val="16"/>
              </w:rPr>
              <w:t xml:space="preserve"> a 0 to 10 scoring system for key questions to estimate the NTGR, rather than fixed categories </w:t>
            </w:r>
            <w:r>
              <w:rPr>
                <w:sz w:val="16"/>
                <w:szCs w:val="16"/>
              </w:rPr>
              <w:t>and</w:t>
            </w:r>
            <w:r w:rsidRPr="00AE55E1">
              <w:rPr>
                <w:sz w:val="16"/>
                <w:szCs w:val="16"/>
              </w:rPr>
              <w:t xml:space="preserve"> assigned weights.</w:t>
            </w:r>
            <w:r>
              <w:rPr>
                <w:sz w:val="16"/>
                <w:szCs w:val="16"/>
              </w:rPr>
              <w:t xml:space="preserve">  </w:t>
            </w:r>
            <w:r w:rsidRPr="00AE55E1">
              <w:rPr>
                <w:sz w:val="16"/>
                <w:szCs w:val="16"/>
              </w:rPr>
              <w:t>The method ask</w:t>
            </w:r>
            <w:r>
              <w:rPr>
                <w:sz w:val="16"/>
                <w:szCs w:val="16"/>
              </w:rPr>
              <w:t>ed</w:t>
            </w:r>
            <w:r w:rsidRPr="00AE55E1">
              <w:rPr>
                <w:sz w:val="16"/>
                <w:szCs w:val="16"/>
              </w:rPr>
              <w:t xml:space="preserve"> respondents to jointly consider and rate the importance of the many likely events </w:t>
            </w:r>
            <w:r>
              <w:rPr>
                <w:sz w:val="16"/>
                <w:szCs w:val="16"/>
              </w:rPr>
              <w:t xml:space="preserve">and </w:t>
            </w:r>
            <w:r w:rsidRPr="00AE55E1">
              <w:rPr>
                <w:sz w:val="16"/>
                <w:szCs w:val="16"/>
              </w:rPr>
              <w:t xml:space="preserve">factors that may have influenced their decision making, rather than focus only </w:t>
            </w:r>
            <w:r>
              <w:rPr>
                <w:sz w:val="16"/>
                <w:szCs w:val="16"/>
              </w:rPr>
              <w:t xml:space="preserve">on </w:t>
            </w:r>
            <w:r w:rsidRPr="00AE55E1">
              <w:rPr>
                <w:sz w:val="16"/>
                <w:szCs w:val="16"/>
              </w:rPr>
              <w:t>rating the program’s importance.</w:t>
            </w:r>
            <w:r>
              <w:rPr>
                <w:sz w:val="16"/>
                <w:szCs w:val="16"/>
              </w:rPr>
              <w:t xml:space="preserve">  The approach </w:t>
            </w:r>
            <w:r w:rsidRPr="0066095D">
              <w:rPr>
                <w:sz w:val="16"/>
                <w:szCs w:val="16"/>
              </w:rPr>
              <w:t xml:space="preserve">was customized to reflect the </w:t>
            </w:r>
            <w:r>
              <w:rPr>
                <w:sz w:val="16"/>
                <w:szCs w:val="16"/>
              </w:rPr>
              <w:t xml:space="preserve">unique </w:t>
            </w:r>
            <w:r w:rsidRPr="0066095D">
              <w:rPr>
                <w:sz w:val="16"/>
                <w:szCs w:val="16"/>
              </w:rPr>
              <w:t>requirements of the retro-commissioning HIM evaluation</w:t>
            </w:r>
            <w:r>
              <w:rPr>
                <w:sz w:val="16"/>
                <w:szCs w:val="16"/>
              </w:rPr>
              <w:t xml:space="preserve">.  An additional set of questions, aimed at assessing deferred free-ridership, were asked of those decision makers who indicated they would have pursued RCx work absent a </w:t>
            </w:r>
            <w:r>
              <w:rPr>
                <w:sz w:val="16"/>
                <w:szCs w:val="16"/>
              </w:rPr>
              <w:lastRenderedPageBreak/>
              <w:t>program.</w:t>
            </w:r>
          </w:p>
        </w:tc>
        <w:tc>
          <w:tcPr>
            <w:tcW w:w="825" w:type="pct"/>
            <w:tcBorders>
              <w:right w:val="single" w:sz="12" w:space="0" w:color="000000"/>
            </w:tcBorders>
          </w:tcPr>
          <w:p w:rsidR="004812E2" w:rsidRDefault="004812E2" w:rsidP="00F23F44">
            <w:pPr>
              <w:spacing w:after="0" w:line="240" w:lineRule="auto"/>
              <w:ind w:firstLine="158"/>
              <w:jc w:val="left"/>
              <w:rPr>
                <w:sz w:val="16"/>
                <w:szCs w:val="16"/>
              </w:rPr>
            </w:pPr>
            <w:r w:rsidRPr="006A37CC">
              <w:rPr>
                <w:sz w:val="16"/>
                <w:szCs w:val="16"/>
              </w:rPr>
              <w:lastRenderedPageBreak/>
              <w:t xml:space="preserve">The </w:t>
            </w:r>
            <w:r>
              <w:rPr>
                <w:sz w:val="16"/>
                <w:szCs w:val="16"/>
              </w:rPr>
              <w:t xml:space="preserve">study </w:t>
            </w:r>
            <w:r w:rsidRPr="006A37CC">
              <w:rPr>
                <w:sz w:val="16"/>
                <w:szCs w:val="16"/>
              </w:rPr>
              <w:t xml:space="preserve">found generally low levels of free ridership across </w:t>
            </w:r>
            <w:r>
              <w:rPr>
                <w:sz w:val="16"/>
                <w:szCs w:val="16"/>
              </w:rPr>
              <w:t xml:space="preserve">the </w:t>
            </w:r>
            <w:r w:rsidRPr="006A37CC">
              <w:rPr>
                <w:sz w:val="16"/>
                <w:szCs w:val="16"/>
              </w:rPr>
              <w:t>projects</w:t>
            </w:r>
            <w:r>
              <w:rPr>
                <w:sz w:val="16"/>
                <w:szCs w:val="16"/>
              </w:rPr>
              <w:t>.  Weight averaging the program level values yields a kWh NTGR of 0.82, a kW NTGR of 0.77.  These yield an average electric NTGR of 0.80.  The natural gas program level values yield a Therms NTGR value of 0.82.</w:t>
            </w:r>
          </w:p>
          <w:p w:rsidR="004812E2" w:rsidRDefault="004812E2" w:rsidP="00F23F44">
            <w:pPr>
              <w:spacing w:after="0" w:line="240" w:lineRule="auto"/>
              <w:ind w:firstLine="158"/>
              <w:jc w:val="left"/>
              <w:rPr>
                <w:sz w:val="16"/>
                <w:szCs w:val="16"/>
              </w:rPr>
            </w:pPr>
            <w:r>
              <w:rPr>
                <w:sz w:val="16"/>
                <w:szCs w:val="16"/>
              </w:rPr>
              <w:t xml:space="preserve">The evaluation included a large number of programs in the study, over two dozen, and 96 different measures. The custom nature of the 225 projects examined and the large number of measures makes it difficult to predict what mix will make-up RCx in the future, and how the factors should be adjusted to forecast NTGR values.  In addition, there are persistence issues for some of the measures considered part of the RCx packages and potential overlaps with the HVAC Quality Maintenance programs should be examined in the future.  Given these uncertainties, it is not recommended that the potential effects of partial </w:t>
            </w:r>
            <w:r>
              <w:rPr>
                <w:sz w:val="16"/>
                <w:szCs w:val="16"/>
              </w:rPr>
              <w:lastRenderedPageBreak/>
              <w:t>and/or deferred free-ridership be removed from this measure at this time.</w:t>
            </w:r>
          </w:p>
          <w:p w:rsidR="004812E2" w:rsidRPr="00A22A8E" w:rsidRDefault="004812E2" w:rsidP="00F23F44">
            <w:pPr>
              <w:tabs>
                <w:tab w:val="decimal" w:pos="-2271"/>
                <w:tab w:val="decimal" w:pos="-1281"/>
              </w:tabs>
              <w:spacing w:after="0" w:line="240" w:lineRule="auto"/>
              <w:ind w:firstLine="158"/>
              <w:jc w:val="left"/>
              <w:rPr>
                <w:sz w:val="16"/>
                <w:szCs w:val="16"/>
              </w:rPr>
            </w:pPr>
            <w:r w:rsidRPr="00F23F44">
              <w:rPr>
                <w:b/>
                <w:sz w:val="16"/>
                <w:szCs w:val="16"/>
              </w:rPr>
              <w:t>R</w:t>
            </w:r>
            <w:r w:rsidRPr="00CB687B">
              <w:rPr>
                <w:b/>
                <w:sz w:val="16"/>
                <w:szCs w:val="16"/>
              </w:rPr>
              <w:t xml:space="preserve">ecommend </w:t>
            </w:r>
            <w:r>
              <w:rPr>
                <w:b/>
                <w:sz w:val="16"/>
                <w:szCs w:val="16"/>
              </w:rPr>
              <w:t xml:space="preserve">that we use the overall weighted average values of NTGR for electric and natural gas, 0.80 and 0.82, </w:t>
            </w:r>
            <w:r w:rsidRPr="00CB687B">
              <w:rPr>
                <w:b/>
                <w:sz w:val="16"/>
                <w:szCs w:val="16"/>
              </w:rPr>
              <w:t>for the RC</w:t>
            </w:r>
            <w:r>
              <w:rPr>
                <w:b/>
                <w:sz w:val="16"/>
                <w:szCs w:val="16"/>
              </w:rPr>
              <w:t>x</w:t>
            </w:r>
            <w:r w:rsidRPr="00CB687B">
              <w:rPr>
                <w:b/>
                <w:sz w:val="16"/>
                <w:szCs w:val="16"/>
              </w:rPr>
              <w:t xml:space="preserve"> </w:t>
            </w:r>
            <w:r>
              <w:rPr>
                <w:b/>
                <w:sz w:val="16"/>
                <w:szCs w:val="16"/>
              </w:rPr>
              <w:t xml:space="preserve">Packages </w:t>
            </w:r>
            <w:r w:rsidRPr="00CB687B">
              <w:rPr>
                <w:b/>
                <w:sz w:val="16"/>
                <w:szCs w:val="16"/>
              </w:rPr>
              <w:t>EEM</w:t>
            </w:r>
            <w:r>
              <w:rPr>
                <w:b/>
                <w:sz w:val="16"/>
                <w:szCs w:val="16"/>
              </w:rPr>
              <w:t>.</w:t>
            </w:r>
          </w:p>
          <w:p w:rsidR="004812E2" w:rsidRPr="006A37CC" w:rsidRDefault="004812E2" w:rsidP="00F23F44">
            <w:pPr>
              <w:spacing w:after="0" w:line="240" w:lineRule="auto"/>
              <w:jc w:val="left"/>
              <w:rPr>
                <w:sz w:val="16"/>
                <w:szCs w:val="16"/>
              </w:rPr>
            </w:pPr>
          </w:p>
        </w:tc>
      </w:tr>
      <w:tr w:rsidR="004812E2" w:rsidRPr="00410CDB" w:rsidTr="00312DEB">
        <w:trPr>
          <w:trHeight w:val="322"/>
        </w:trPr>
        <w:tc>
          <w:tcPr>
            <w:tcW w:w="519" w:type="pct"/>
            <w:tcBorders>
              <w:left w:val="single" w:sz="12" w:space="0" w:color="000000"/>
            </w:tcBorders>
            <w:vAlign w:val="center"/>
          </w:tcPr>
          <w:p w:rsidR="004812E2" w:rsidRDefault="004812E2" w:rsidP="00F23F44">
            <w:pPr>
              <w:spacing w:after="0" w:line="240" w:lineRule="auto"/>
              <w:jc w:val="left"/>
              <w:rPr>
                <w:sz w:val="16"/>
                <w:szCs w:val="16"/>
              </w:rPr>
            </w:pPr>
            <w:r w:rsidRPr="00380045">
              <w:rPr>
                <w:sz w:val="16"/>
                <w:szCs w:val="16"/>
              </w:rPr>
              <w:lastRenderedPageBreak/>
              <w:t xml:space="preserve">Water-Cooled </w:t>
            </w:r>
            <w:r>
              <w:rPr>
                <w:sz w:val="16"/>
                <w:szCs w:val="16"/>
              </w:rPr>
              <w:t xml:space="preserve">Chillers: </w:t>
            </w:r>
            <w:r w:rsidRPr="00380045">
              <w:rPr>
                <w:sz w:val="16"/>
                <w:szCs w:val="16"/>
              </w:rPr>
              <w:t>Centrifugal</w:t>
            </w:r>
            <w:r>
              <w:rPr>
                <w:sz w:val="16"/>
                <w:szCs w:val="16"/>
              </w:rPr>
              <w:t>, Screw, Scroll, Reciprocating, Centrifugal with VSD, Screw with VSD, “Frictionless” with VSD</w:t>
            </w:r>
          </w:p>
          <w:p w:rsidR="004812E2" w:rsidRDefault="004812E2" w:rsidP="00F23F44">
            <w:pPr>
              <w:spacing w:after="0" w:line="240" w:lineRule="auto"/>
              <w:jc w:val="left"/>
              <w:rPr>
                <w:sz w:val="16"/>
                <w:szCs w:val="16"/>
              </w:rPr>
            </w:pPr>
          </w:p>
          <w:p w:rsidR="004812E2" w:rsidRDefault="004812E2" w:rsidP="00F23F44">
            <w:pPr>
              <w:spacing w:after="0" w:line="240" w:lineRule="auto"/>
              <w:jc w:val="left"/>
              <w:rPr>
                <w:sz w:val="16"/>
                <w:szCs w:val="16"/>
              </w:rPr>
            </w:pPr>
            <w:r>
              <w:rPr>
                <w:sz w:val="16"/>
                <w:szCs w:val="16"/>
              </w:rPr>
              <w:t>Air-Cooled Chillers:</w:t>
            </w:r>
          </w:p>
          <w:p w:rsidR="004812E2" w:rsidRPr="00380045" w:rsidRDefault="004812E2" w:rsidP="00F23F44">
            <w:pPr>
              <w:spacing w:after="0" w:line="240" w:lineRule="auto"/>
              <w:jc w:val="left"/>
              <w:rPr>
                <w:sz w:val="16"/>
                <w:szCs w:val="16"/>
              </w:rPr>
            </w:pPr>
            <w:r>
              <w:rPr>
                <w:sz w:val="16"/>
                <w:szCs w:val="16"/>
              </w:rPr>
              <w:t>Screw, Scroll, Reciprocating, Screw with VSD, “Frictionless” with VSD</w:t>
            </w:r>
          </w:p>
        </w:tc>
        <w:tc>
          <w:tcPr>
            <w:tcW w:w="479" w:type="pct"/>
            <w:vAlign w:val="center"/>
          </w:tcPr>
          <w:p w:rsidR="004812E2" w:rsidRDefault="004812E2" w:rsidP="00F23F44">
            <w:pPr>
              <w:spacing w:after="0" w:line="240" w:lineRule="auto"/>
              <w:jc w:val="left"/>
              <w:rPr>
                <w:sz w:val="16"/>
                <w:szCs w:val="16"/>
              </w:rPr>
            </w:pPr>
            <w:r>
              <w:rPr>
                <w:sz w:val="16"/>
                <w:szCs w:val="16"/>
              </w:rPr>
              <w:t xml:space="preserve">DEER listing for “All HVAC” for Large Non-residential Customized Incentives is 0.64.  </w:t>
            </w:r>
          </w:p>
          <w:p w:rsidR="004812E2" w:rsidRDefault="004812E2" w:rsidP="00F23F44">
            <w:pPr>
              <w:spacing w:after="0" w:line="240" w:lineRule="auto"/>
              <w:jc w:val="left"/>
              <w:rPr>
                <w:sz w:val="16"/>
                <w:szCs w:val="16"/>
              </w:rPr>
            </w:pPr>
            <w:r>
              <w:rPr>
                <w:sz w:val="16"/>
                <w:szCs w:val="16"/>
              </w:rPr>
              <w:t>(This is the same value adopted for all Large Non-Residential Custom Measures.)</w:t>
            </w:r>
          </w:p>
        </w:tc>
        <w:tc>
          <w:tcPr>
            <w:tcW w:w="444" w:type="pct"/>
            <w:vAlign w:val="center"/>
          </w:tcPr>
          <w:p w:rsidR="004812E2" w:rsidRDefault="004812E2" w:rsidP="00F23F44">
            <w:pPr>
              <w:spacing w:after="0" w:line="240" w:lineRule="auto"/>
              <w:jc w:val="left"/>
              <w:rPr>
                <w:sz w:val="16"/>
                <w:szCs w:val="16"/>
              </w:rPr>
            </w:pPr>
            <w:r>
              <w:rPr>
                <w:sz w:val="16"/>
                <w:szCs w:val="16"/>
              </w:rPr>
              <w:t>Customized Incentives</w:t>
            </w:r>
          </w:p>
        </w:tc>
        <w:tc>
          <w:tcPr>
            <w:tcW w:w="785" w:type="pct"/>
            <w:vAlign w:val="center"/>
          </w:tcPr>
          <w:p w:rsidR="004812E2" w:rsidRPr="002F22D5" w:rsidRDefault="004812E2" w:rsidP="00F23F44">
            <w:pPr>
              <w:spacing w:after="0" w:line="240" w:lineRule="auto"/>
              <w:jc w:val="left"/>
              <w:rPr>
                <w:sz w:val="16"/>
                <w:szCs w:val="16"/>
              </w:rPr>
            </w:pPr>
            <w:r w:rsidRPr="000319BE">
              <w:rPr>
                <w:sz w:val="16"/>
                <w:szCs w:val="16"/>
              </w:rPr>
              <w:t>Major Commercial Contract Group, Volume I, Final Impact Evaluation Report, 2006 – 2008 Program Years, SBW Consulting, Inc., February 10, 2010</w:t>
            </w:r>
          </w:p>
        </w:tc>
        <w:tc>
          <w:tcPr>
            <w:tcW w:w="1127" w:type="pct"/>
            <w:vAlign w:val="center"/>
          </w:tcPr>
          <w:p w:rsidR="004812E2" w:rsidRDefault="004812E2" w:rsidP="00F23F44">
            <w:pPr>
              <w:spacing w:after="0" w:line="240" w:lineRule="auto"/>
              <w:jc w:val="left"/>
              <w:rPr>
                <w:sz w:val="16"/>
                <w:szCs w:val="16"/>
              </w:rPr>
            </w:pPr>
            <w:r>
              <w:rPr>
                <w:sz w:val="16"/>
                <w:szCs w:val="16"/>
              </w:rPr>
              <w:t xml:space="preserve">The study determined the following NTGR for IOU programs that included Custom HVAC measures in the results mix: </w:t>
            </w:r>
          </w:p>
          <w:p w:rsidR="004812E2" w:rsidRPr="00292BE4" w:rsidRDefault="004812E2" w:rsidP="00F23F44">
            <w:pPr>
              <w:spacing w:after="0" w:line="240" w:lineRule="auto"/>
              <w:jc w:val="left"/>
              <w:rPr>
                <w:color w:val="FF0000"/>
                <w:sz w:val="16"/>
                <w:szCs w:val="16"/>
              </w:rPr>
            </w:pPr>
          </w:p>
          <w:p w:rsidR="004812E2" w:rsidRPr="00F23F44" w:rsidRDefault="004812E2" w:rsidP="00355DD4">
            <w:pPr>
              <w:tabs>
                <w:tab w:val="left" w:pos="971"/>
                <w:tab w:val="left" w:pos="1872"/>
              </w:tabs>
              <w:spacing w:after="0" w:line="240" w:lineRule="auto"/>
              <w:jc w:val="left"/>
              <w:rPr>
                <w:b/>
                <w:sz w:val="16"/>
                <w:szCs w:val="16"/>
              </w:rPr>
            </w:pPr>
            <w:r>
              <w:rPr>
                <w:sz w:val="16"/>
                <w:szCs w:val="16"/>
              </w:rPr>
              <w:tab/>
            </w:r>
            <w:r w:rsidR="00355DD4" w:rsidRPr="00355DD4">
              <w:rPr>
                <w:b/>
                <w:sz w:val="16"/>
                <w:szCs w:val="16"/>
              </w:rPr>
              <w:t>NTGR</w:t>
            </w:r>
            <w:r w:rsidR="00355DD4" w:rsidRPr="00355DD4">
              <w:rPr>
                <w:b/>
                <w:sz w:val="16"/>
                <w:szCs w:val="16"/>
              </w:rPr>
              <w:tab/>
            </w:r>
            <w:r w:rsidRPr="00F23F44">
              <w:rPr>
                <w:b/>
                <w:sz w:val="16"/>
                <w:szCs w:val="16"/>
              </w:rPr>
              <w:t>Sample</w:t>
            </w:r>
          </w:p>
          <w:p w:rsidR="004812E2" w:rsidRPr="00F23F44" w:rsidRDefault="004812E2" w:rsidP="00F23F44">
            <w:pPr>
              <w:tabs>
                <w:tab w:val="decimal" w:pos="1151"/>
                <w:tab w:val="decimal" w:pos="1603"/>
                <w:tab w:val="left" w:pos="1872"/>
              </w:tabs>
              <w:spacing w:after="0" w:line="240" w:lineRule="auto"/>
              <w:jc w:val="left"/>
              <w:rPr>
                <w:b/>
                <w:sz w:val="16"/>
                <w:szCs w:val="16"/>
              </w:rPr>
            </w:pPr>
            <w:r w:rsidRPr="00F23F44">
              <w:rPr>
                <w:b/>
                <w:sz w:val="16"/>
                <w:szCs w:val="16"/>
              </w:rPr>
              <w:tab/>
              <w:t>kWh</w:t>
            </w:r>
            <w:r w:rsidRPr="00F23F44">
              <w:rPr>
                <w:b/>
                <w:sz w:val="16"/>
                <w:szCs w:val="16"/>
              </w:rPr>
              <w:tab/>
              <w:t>kW</w:t>
            </w:r>
            <w:r w:rsidRPr="00F23F44">
              <w:rPr>
                <w:b/>
                <w:sz w:val="16"/>
                <w:szCs w:val="16"/>
              </w:rPr>
              <w:tab/>
              <w:t>Sizes</w:t>
            </w:r>
          </w:p>
          <w:p w:rsidR="004812E2" w:rsidRDefault="004812E2" w:rsidP="00F23F44">
            <w:pPr>
              <w:tabs>
                <w:tab w:val="decimal" w:pos="971"/>
                <w:tab w:val="decimal" w:pos="1423"/>
                <w:tab w:val="decimal" w:pos="2232"/>
                <w:tab w:val="decimal" w:pos="2592"/>
              </w:tabs>
              <w:spacing w:after="0" w:line="240" w:lineRule="auto"/>
              <w:jc w:val="left"/>
              <w:rPr>
                <w:sz w:val="16"/>
                <w:szCs w:val="16"/>
              </w:rPr>
            </w:pPr>
            <w:r>
              <w:rPr>
                <w:sz w:val="16"/>
                <w:szCs w:val="16"/>
              </w:rPr>
              <w:t>SCE2517</w:t>
            </w:r>
            <w:r>
              <w:rPr>
                <w:sz w:val="16"/>
                <w:szCs w:val="16"/>
              </w:rPr>
              <w:tab/>
              <w:t>0.59</w:t>
            </w:r>
            <w:r>
              <w:rPr>
                <w:sz w:val="16"/>
                <w:szCs w:val="16"/>
              </w:rPr>
              <w:tab/>
              <w:t>0.57</w:t>
            </w:r>
            <w:r>
              <w:rPr>
                <w:sz w:val="16"/>
                <w:szCs w:val="16"/>
              </w:rPr>
              <w:tab/>
              <w:t>47</w:t>
            </w:r>
          </w:p>
          <w:p w:rsidR="004812E2" w:rsidRDefault="004812E2" w:rsidP="00F23F44">
            <w:pPr>
              <w:tabs>
                <w:tab w:val="decimal" w:pos="971"/>
                <w:tab w:val="decimal" w:pos="1423"/>
                <w:tab w:val="decimal" w:pos="2232"/>
                <w:tab w:val="decimal" w:pos="2588"/>
              </w:tabs>
              <w:spacing w:after="0" w:line="240" w:lineRule="auto"/>
              <w:jc w:val="left"/>
              <w:rPr>
                <w:sz w:val="16"/>
                <w:szCs w:val="16"/>
              </w:rPr>
            </w:pPr>
            <w:r>
              <w:rPr>
                <w:sz w:val="16"/>
                <w:szCs w:val="16"/>
              </w:rPr>
              <w:t>SDGE3010</w:t>
            </w:r>
            <w:r>
              <w:rPr>
                <w:sz w:val="16"/>
                <w:szCs w:val="16"/>
              </w:rPr>
              <w:tab/>
              <w:t>0.70</w:t>
            </w:r>
            <w:r>
              <w:rPr>
                <w:sz w:val="16"/>
                <w:szCs w:val="16"/>
              </w:rPr>
              <w:tab/>
              <w:t>0.68</w:t>
            </w:r>
            <w:r>
              <w:rPr>
                <w:sz w:val="16"/>
                <w:szCs w:val="16"/>
              </w:rPr>
              <w:tab/>
              <w:t>33</w:t>
            </w:r>
          </w:p>
          <w:p w:rsidR="004812E2" w:rsidRDefault="004812E2" w:rsidP="00F23F44">
            <w:pPr>
              <w:tabs>
                <w:tab w:val="decimal" w:pos="0"/>
                <w:tab w:val="decimal" w:pos="973"/>
                <w:tab w:val="decimal" w:pos="1423"/>
                <w:tab w:val="decimal" w:pos="2232"/>
                <w:tab w:val="decimal" w:pos="2592"/>
              </w:tabs>
              <w:spacing w:after="0" w:line="240" w:lineRule="auto"/>
              <w:jc w:val="left"/>
              <w:rPr>
                <w:sz w:val="16"/>
                <w:szCs w:val="16"/>
              </w:rPr>
            </w:pPr>
            <w:r>
              <w:rPr>
                <w:sz w:val="16"/>
                <w:szCs w:val="16"/>
              </w:rPr>
              <w:t>SDGE3025</w:t>
            </w:r>
            <w:r>
              <w:rPr>
                <w:sz w:val="16"/>
                <w:szCs w:val="16"/>
              </w:rPr>
              <w:tab/>
              <w:t>0.56</w:t>
            </w:r>
            <w:r>
              <w:rPr>
                <w:sz w:val="16"/>
                <w:szCs w:val="16"/>
              </w:rPr>
              <w:tab/>
              <w:t>0.54</w:t>
            </w:r>
            <w:r>
              <w:rPr>
                <w:sz w:val="16"/>
                <w:szCs w:val="16"/>
              </w:rPr>
              <w:tab/>
              <w:t>27</w:t>
            </w:r>
          </w:p>
          <w:p w:rsidR="004812E2" w:rsidRPr="002F22D5" w:rsidRDefault="004812E2" w:rsidP="00F23F44">
            <w:pPr>
              <w:tabs>
                <w:tab w:val="decimal" w:pos="0"/>
                <w:tab w:val="left" w:pos="1512"/>
                <w:tab w:val="decimal" w:pos="2232"/>
              </w:tabs>
              <w:spacing w:after="0" w:line="240" w:lineRule="auto"/>
              <w:jc w:val="left"/>
              <w:rPr>
                <w:sz w:val="16"/>
                <w:szCs w:val="16"/>
              </w:rPr>
            </w:pPr>
            <w:r>
              <w:rPr>
                <w:sz w:val="16"/>
                <w:szCs w:val="16"/>
              </w:rPr>
              <w:tab/>
              <w:t>Total:</w:t>
            </w:r>
            <w:r>
              <w:rPr>
                <w:sz w:val="16"/>
                <w:szCs w:val="16"/>
              </w:rPr>
              <w:tab/>
              <w:t>107</w:t>
            </w:r>
          </w:p>
        </w:tc>
        <w:tc>
          <w:tcPr>
            <w:tcW w:w="821" w:type="pct"/>
            <w:vAlign w:val="center"/>
          </w:tcPr>
          <w:p w:rsidR="004812E2" w:rsidRDefault="004812E2" w:rsidP="00F23F44">
            <w:pPr>
              <w:spacing w:after="0" w:line="240" w:lineRule="auto"/>
              <w:ind w:firstLine="160"/>
              <w:jc w:val="left"/>
              <w:rPr>
                <w:sz w:val="16"/>
                <w:szCs w:val="16"/>
              </w:rPr>
            </w:pPr>
            <w:r>
              <w:rPr>
                <w:sz w:val="16"/>
                <w:szCs w:val="16"/>
              </w:rPr>
              <w:t xml:space="preserve">The study used the SRA methodology to estimate the NTGR values.  Three levels of analysis methodologies were used: the Standard – Very Large applied to the largest and most complex projects.  The Standard NTGR approach involves a less detailed level of analysis, was applied to projects with moderately high levels of gross savings.  The Basic NTGR was applied to all remaining projects.  </w:t>
            </w:r>
          </w:p>
          <w:p w:rsidR="004812E2" w:rsidRDefault="004812E2" w:rsidP="00F23F44">
            <w:pPr>
              <w:spacing w:after="0" w:line="240" w:lineRule="auto"/>
              <w:ind w:firstLine="160"/>
              <w:jc w:val="left"/>
              <w:rPr>
                <w:sz w:val="16"/>
                <w:szCs w:val="16"/>
              </w:rPr>
            </w:pPr>
            <w:r>
              <w:rPr>
                <w:sz w:val="16"/>
                <w:szCs w:val="16"/>
              </w:rPr>
              <w:t>The paid incentive was the main determinant used to assign a project to an assigned rigor level.  Sites with incentives of $200,000 or more were assigned to the Standard Very Large rigor level and sites with incentives less than $50,000 were assigned to the Basic rigor level.  All other sites were assigned to the Standard rigor level.  Supplemental Decision Maker questions were posed to those sites assigned to the Standard and Standard Very Large rigor levels.</w:t>
            </w:r>
          </w:p>
          <w:p w:rsidR="004812E2" w:rsidRPr="0006689F" w:rsidRDefault="004812E2" w:rsidP="00F23F44">
            <w:pPr>
              <w:spacing w:after="0" w:line="240" w:lineRule="auto"/>
              <w:ind w:firstLine="160"/>
              <w:jc w:val="left"/>
              <w:rPr>
                <w:sz w:val="16"/>
                <w:szCs w:val="16"/>
              </w:rPr>
            </w:pPr>
            <w:r>
              <w:rPr>
                <w:sz w:val="16"/>
                <w:szCs w:val="16"/>
              </w:rPr>
              <w:t xml:space="preserve">The NTGR values were calculated as the average of </w:t>
            </w:r>
            <w:r>
              <w:rPr>
                <w:sz w:val="16"/>
                <w:szCs w:val="16"/>
              </w:rPr>
              <w:lastRenderedPageBreak/>
              <w:t xml:space="preserve">three scores: (1) </w:t>
            </w:r>
            <w:r w:rsidRPr="00E76158">
              <w:rPr>
                <w:sz w:val="16"/>
                <w:szCs w:val="16"/>
              </w:rPr>
              <w:t>Timing and Selection</w:t>
            </w:r>
            <w:r>
              <w:rPr>
                <w:sz w:val="16"/>
                <w:szCs w:val="16"/>
              </w:rPr>
              <w:t>, (2) Program Influence, and (3) No-Program.  The No-Program score includes adjustments for deferred free-ridership.</w:t>
            </w:r>
          </w:p>
        </w:tc>
        <w:tc>
          <w:tcPr>
            <w:tcW w:w="825" w:type="pct"/>
            <w:tcBorders>
              <w:right w:val="single" w:sz="12" w:space="0" w:color="000000"/>
            </w:tcBorders>
          </w:tcPr>
          <w:p w:rsidR="004812E2" w:rsidRDefault="004812E2" w:rsidP="00F23F44">
            <w:pPr>
              <w:spacing w:after="0" w:line="240" w:lineRule="auto"/>
              <w:ind w:firstLine="158"/>
              <w:jc w:val="left"/>
              <w:rPr>
                <w:sz w:val="16"/>
                <w:szCs w:val="16"/>
              </w:rPr>
            </w:pPr>
            <w:r>
              <w:rPr>
                <w:sz w:val="16"/>
                <w:szCs w:val="16"/>
              </w:rPr>
              <w:lastRenderedPageBreak/>
              <w:t xml:space="preserve">There are two ways to derive a representative Chiller Replacement NTGR: (1) Weight averaging the program level values that contain Custom HVAC.  This approach yields a kWh weighted value of 0.60, a kW weighted value of 0.59, and an overall average of 0.59.  (2) Use the project level NTGR values for chiller projects found among the samples.  The main drawback is the low number of chiller projects (14).  Averaging the project level values yields an NTGR of 0.56.  Thus, the two approaches yield values within a very narrow range, from 0.56 to 0.59.  </w:t>
            </w:r>
          </w:p>
          <w:p w:rsidR="004812E2" w:rsidRDefault="00E01C5C" w:rsidP="00F23F44">
            <w:pPr>
              <w:spacing w:after="0" w:line="240" w:lineRule="auto"/>
              <w:ind w:firstLine="158"/>
              <w:jc w:val="left"/>
              <w:rPr>
                <w:sz w:val="16"/>
                <w:szCs w:val="16"/>
              </w:rPr>
            </w:pPr>
            <w:r>
              <w:rPr>
                <w:sz w:val="16"/>
                <w:szCs w:val="16"/>
              </w:rPr>
              <w:t>The</w:t>
            </w:r>
            <w:r w:rsidR="004812E2">
              <w:rPr>
                <w:sz w:val="16"/>
                <w:szCs w:val="16"/>
              </w:rPr>
              <w:t xml:space="preserve"> study does not indicate that there are adjustments for partial free-ridership.  However, deferred free-ridership adjustments are apparent in the chiller project level values, but given the low sample size, unaddressed free-ridership issues in the Custom Incentive Programs, and the narrow range of the weighted averages, and the ongoing efforts of the Custom and Ex </w:t>
            </w:r>
            <w:r w:rsidR="004812E2">
              <w:rPr>
                <w:sz w:val="16"/>
                <w:szCs w:val="16"/>
              </w:rPr>
              <w:lastRenderedPageBreak/>
              <w:t>Ante reviews, removing the effect of deferred free-ridership is not warranted.</w:t>
            </w:r>
          </w:p>
          <w:p w:rsidR="004812E2" w:rsidRPr="00322F7E" w:rsidRDefault="004812E2" w:rsidP="00F23F44">
            <w:pPr>
              <w:spacing w:after="0" w:line="240" w:lineRule="auto"/>
              <w:ind w:firstLine="158"/>
              <w:jc w:val="left"/>
              <w:rPr>
                <w:b/>
                <w:sz w:val="16"/>
                <w:szCs w:val="16"/>
              </w:rPr>
            </w:pPr>
            <w:r>
              <w:rPr>
                <w:b/>
                <w:sz w:val="16"/>
                <w:szCs w:val="16"/>
              </w:rPr>
              <w:t>Recommend that the mid-point of the range, rounded up to 0.58, be used as the Chiller Replacement NTGR value for the Customized Incentive delivery approach.</w:t>
            </w:r>
          </w:p>
          <w:p w:rsidR="004812E2" w:rsidRPr="0033359A" w:rsidRDefault="004812E2" w:rsidP="00F23F44">
            <w:pPr>
              <w:spacing w:after="0" w:line="240" w:lineRule="auto"/>
              <w:ind w:firstLine="158"/>
              <w:jc w:val="left"/>
              <w:rPr>
                <w:sz w:val="16"/>
                <w:szCs w:val="16"/>
              </w:rPr>
            </w:pPr>
          </w:p>
        </w:tc>
      </w:tr>
      <w:tr w:rsidR="004812E2" w:rsidRPr="00410CDB" w:rsidTr="00312DEB">
        <w:trPr>
          <w:trHeight w:val="322"/>
        </w:trPr>
        <w:tc>
          <w:tcPr>
            <w:tcW w:w="519" w:type="pct"/>
            <w:tcBorders>
              <w:left w:val="single" w:sz="12" w:space="0" w:color="000000"/>
              <w:bottom w:val="single" w:sz="12" w:space="0" w:color="000000"/>
            </w:tcBorders>
            <w:vAlign w:val="center"/>
          </w:tcPr>
          <w:p w:rsidR="004812E2" w:rsidRDefault="004812E2" w:rsidP="00F23F44">
            <w:pPr>
              <w:spacing w:after="0" w:line="240" w:lineRule="auto"/>
              <w:jc w:val="left"/>
              <w:rPr>
                <w:sz w:val="16"/>
                <w:szCs w:val="16"/>
              </w:rPr>
            </w:pPr>
            <w:r>
              <w:rPr>
                <w:sz w:val="16"/>
                <w:szCs w:val="16"/>
              </w:rPr>
              <w:lastRenderedPageBreak/>
              <w:t xml:space="preserve">Water- and </w:t>
            </w:r>
            <w:r w:rsidRPr="0053210C">
              <w:rPr>
                <w:sz w:val="16"/>
                <w:szCs w:val="16"/>
              </w:rPr>
              <w:t>Air-Cooled Package Heat Pump</w:t>
            </w:r>
            <w:r>
              <w:rPr>
                <w:sz w:val="16"/>
                <w:szCs w:val="16"/>
              </w:rPr>
              <w:t>s and Air Conditioners</w:t>
            </w:r>
          </w:p>
          <w:p w:rsidR="004812E2" w:rsidRDefault="004812E2" w:rsidP="00F23F44">
            <w:pPr>
              <w:spacing w:after="0" w:line="240" w:lineRule="auto"/>
              <w:jc w:val="left"/>
              <w:rPr>
                <w:sz w:val="16"/>
                <w:szCs w:val="16"/>
              </w:rPr>
            </w:pPr>
          </w:p>
          <w:p w:rsidR="004812E2" w:rsidRPr="0053210C" w:rsidRDefault="004812E2" w:rsidP="00F23F44">
            <w:pPr>
              <w:spacing w:after="0" w:line="240" w:lineRule="auto"/>
              <w:jc w:val="left"/>
              <w:rPr>
                <w:sz w:val="16"/>
                <w:szCs w:val="16"/>
              </w:rPr>
            </w:pPr>
            <w:r>
              <w:rPr>
                <w:sz w:val="16"/>
                <w:szCs w:val="16"/>
              </w:rPr>
              <w:t>Air-Cooled Split System Air Conditioners and Heat Pumps</w:t>
            </w:r>
          </w:p>
        </w:tc>
        <w:tc>
          <w:tcPr>
            <w:tcW w:w="479" w:type="pct"/>
            <w:tcBorders>
              <w:bottom w:val="single" w:sz="12" w:space="0" w:color="000000"/>
            </w:tcBorders>
            <w:vAlign w:val="center"/>
          </w:tcPr>
          <w:p w:rsidR="004812E2" w:rsidRDefault="004812E2" w:rsidP="00F23F44">
            <w:pPr>
              <w:spacing w:after="0" w:line="240" w:lineRule="auto"/>
              <w:jc w:val="left"/>
              <w:rPr>
                <w:sz w:val="16"/>
                <w:szCs w:val="16"/>
              </w:rPr>
            </w:pPr>
            <w:r>
              <w:rPr>
                <w:sz w:val="16"/>
                <w:szCs w:val="16"/>
              </w:rPr>
              <w:t>The DEER uses the default NTGR of 0.85 for the Upstream Prescriptive Rebates for Packaged AC Systems from 65 - 135 kBTU/hr in size.  For Downstream Prescriptive Rebates, the DEER lists a value of 0.50 for packaged systems under Other HVAC.</w:t>
            </w:r>
          </w:p>
        </w:tc>
        <w:tc>
          <w:tcPr>
            <w:tcW w:w="444" w:type="pct"/>
            <w:tcBorders>
              <w:bottom w:val="single" w:sz="12" w:space="0" w:color="000000"/>
            </w:tcBorders>
            <w:vAlign w:val="center"/>
          </w:tcPr>
          <w:p w:rsidR="004812E2" w:rsidRDefault="004812E2" w:rsidP="00F23F44">
            <w:pPr>
              <w:spacing w:after="0" w:line="240" w:lineRule="auto"/>
              <w:jc w:val="left"/>
              <w:rPr>
                <w:sz w:val="16"/>
                <w:szCs w:val="16"/>
              </w:rPr>
            </w:pPr>
            <w:r>
              <w:rPr>
                <w:sz w:val="16"/>
                <w:szCs w:val="16"/>
              </w:rPr>
              <w:t>Upstream</w:t>
            </w:r>
            <w:r w:rsidR="00026BEC">
              <w:rPr>
                <w:sz w:val="16"/>
                <w:szCs w:val="16"/>
              </w:rPr>
              <w:t>, Downstream</w:t>
            </w:r>
          </w:p>
        </w:tc>
        <w:tc>
          <w:tcPr>
            <w:tcW w:w="785" w:type="pct"/>
            <w:tcBorders>
              <w:bottom w:val="single" w:sz="12" w:space="0" w:color="000000"/>
            </w:tcBorders>
            <w:vAlign w:val="center"/>
          </w:tcPr>
          <w:p w:rsidR="004812E2" w:rsidRPr="002F22D5" w:rsidRDefault="004812E2" w:rsidP="00F23F44">
            <w:pPr>
              <w:spacing w:after="0" w:line="240" w:lineRule="auto"/>
              <w:jc w:val="left"/>
              <w:rPr>
                <w:sz w:val="16"/>
                <w:szCs w:val="16"/>
              </w:rPr>
            </w:pPr>
            <w:r w:rsidRPr="00E03396">
              <w:rPr>
                <w:sz w:val="16"/>
                <w:szCs w:val="16"/>
              </w:rPr>
              <w:t>Evaluation Measurement and Verification of the California Public Utilities Commission HVAC High Impact Measures and Specialized Commercial Contract Group Programs, 2006 – 2008 Program Year, Final Consultant Report, Volumes 1 and 2, KEMA, February 10, 2010</w:t>
            </w:r>
          </w:p>
        </w:tc>
        <w:tc>
          <w:tcPr>
            <w:tcW w:w="1127" w:type="pct"/>
            <w:tcBorders>
              <w:bottom w:val="single" w:sz="12" w:space="0" w:color="000000"/>
            </w:tcBorders>
            <w:vAlign w:val="center"/>
          </w:tcPr>
          <w:p w:rsidR="004812E2" w:rsidRDefault="004812E2" w:rsidP="00F23F44">
            <w:pPr>
              <w:spacing w:after="0" w:line="240" w:lineRule="auto"/>
              <w:jc w:val="left"/>
              <w:rPr>
                <w:sz w:val="16"/>
                <w:szCs w:val="16"/>
              </w:rPr>
            </w:pPr>
            <w:r>
              <w:rPr>
                <w:sz w:val="16"/>
                <w:szCs w:val="16"/>
              </w:rPr>
              <w:t xml:space="preserve">The study estimated NTGR values for the following IOU programs based on vendor surveys only (Table 6-44):  </w:t>
            </w:r>
          </w:p>
          <w:p w:rsidR="004812E2" w:rsidRDefault="004812E2" w:rsidP="00F23F44">
            <w:pPr>
              <w:spacing w:after="0" w:line="240" w:lineRule="auto"/>
              <w:jc w:val="left"/>
              <w:rPr>
                <w:sz w:val="16"/>
                <w:szCs w:val="16"/>
              </w:rPr>
            </w:pPr>
          </w:p>
          <w:p w:rsidR="004812E2" w:rsidRPr="006B612C" w:rsidRDefault="004812E2" w:rsidP="001F5D99">
            <w:pPr>
              <w:tabs>
                <w:tab w:val="left" w:pos="1331"/>
                <w:tab w:val="left" w:pos="2231"/>
              </w:tabs>
              <w:spacing w:after="0" w:line="240" w:lineRule="auto"/>
              <w:jc w:val="left"/>
              <w:rPr>
                <w:b/>
                <w:sz w:val="16"/>
                <w:szCs w:val="16"/>
              </w:rPr>
            </w:pPr>
            <w:r>
              <w:rPr>
                <w:sz w:val="16"/>
                <w:szCs w:val="16"/>
              </w:rPr>
              <w:tab/>
            </w:r>
            <w:r w:rsidR="001F5D99">
              <w:rPr>
                <w:b/>
                <w:sz w:val="16"/>
                <w:szCs w:val="16"/>
              </w:rPr>
              <w:t>NTGR</w:t>
            </w:r>
            <w:r w:rsidRPr="006B612C">
              <w:rPr>
                <w:b/>
                <w:sz w:val="16"/>
                <w:szCs w:val="16"/>
              </w:rPr>
              <w:tab/>
              <w:t>Sample</w:t>
            </w:r>
          </w:p>
          <w:p w:rsidR="004812E2" w:rsidRPr="006B612C" w:rsidRDefault="004812E2" w:rsidP="001F5D99">
            <w:pPr>
              <w:tabs>
                <w:tab w:val="left" w:pos="1152"/>
                <w:tab w:val="left" w:pos="1782"/>
                <w:tab w:val="left" w:pos="2231"/>
              </w:tabs>
              <w:spacing w:after="0" w:line="240" w:lineRule="auto"/>
              <w:jc w:val="left"/>
              <w:rPr>
                <w:b/>
                <w:sz w:val="16"/>
                <w:szCs w:val="16"/>
              </w:rPr>
            </w:pPr>
            <w:r>
              <w:rPr>
                <w:b/>
                <w:sz w:val="16"/>
                <w:szCs w:val="16"/>
              </w:rPr>
              <w:t>Program</w:t>
            </w:r>
            <w:r w:rsidRPr="006B612C">
              <w:rPr>
                <w:b/>
                <w:sz w:val="16"/>
                <w:szCs w:val="16"/>
              </w:rPr>
              <w:tab/>
              <w:t>kWh</w:t>
            </w:r>
            <w:r w:rsidRPr="006B612C">
              <w:rPr>
                <w:b/>
                <w:sz w:val="16"/>
                <w:szCs w:val="16"/>
              </w:rPr>
              <w:tab/>
              <w:t>kW</w:t>
            </w:r>
            <w:r w:rsidRPr="006B612C">
              <w:rPr>
                <w:b/>
                <w:sz w:val="16"/>
                <w:szCs w:val="16"/>
              </w:rPr>
              <w:tab/>
              <w:t>Sizes</w:t>
            </w:r>
          </w:p>
          <w:p w:rsidR="004812E2" w:rsidRDefault="004812E2" w:rsidP="001F5D99">
            <w:pPr>
              <w:tabs>
                <w:tab w:val="decimal" w:pos="696"/>
                <w:tab w:val="decimal" w:pos="1242"/>
                <w:tab w:val="decimal" w:pos="1872"/>
                <w:tab w:val="decimal" w:pos="2501"/>
              </w:tabs>
              <w:spacing w:after="0" w:line="240" w:lineRule="auto"/>
              <w:jc w:val="left"/>
              <w:rPr>
                <w:sz w:val="16"/>
                <w:szCs w:val="16"/>
              </w:rPr>
            </w:pPr>
            <w:r>
              <w:rPr>
                <w:sz w:val="16"/>
                <w:szCs w:val="16"/>
              </w:rPr>
              <w:t>PGE2080</w:t>
            </w:r>
            <w:r>
              <w:rPr>
                <w:sz w:val="16"/>
                <w:szCs w:val="16"/>
              </w:rPr>
              <w:tab/>
            </w:r>
            <w:r>
              <w:rPr>
                <w:sz w:val="16"/>
                <w:szCs w:val="16"/>
              </w:rPr>
              <w:tab/>
              <w:t>0.94</w:t>
            </w:r>
            <w:r>
              <w:rPr>
                <w:sz w:val="16"/>
                <w:szCs w:val="16"/>
              </w:rPr>
              <w:tab/>
              <w:t>0.94</w:t>
            </w:r>
            <w:r>
              <w:rPr>
                <w:sz w:val="16"/>
                <w:szCs w:val="16"/>
              </w:rPr>
              <w:tab/>
              <w:t>10</w:t>
            </w:r>
          </w:p>
          <w:p w:rsidR="004812E2" w:rsidRDefault="004812E2" w:rsidP="001F5D99">
            <w:pPr>
              <w:tabs>
                <w:tab w:val="decimal" w:pos="696"/>
                <w:tab w:val="decimal" w:pos="1242"/>
                <w:tab w:val="decimal" w:pos="1872"/>
                <w:tab w:val="decimal" w:pos="2501"/>
              </w:tabs>
              <w:spacing w:after="0" w:line="240" w:lineRule="auto"/>
              <w:jc w:val="left"/>
              <w:rPr>
                <w:sz w:val="16"/>
                <w:szCs w:val="16"/>
              </w:rPr>
            </w:pPr>
            <w:r>
              <w:rPr>
                <w:sz w:val="16"/>
                <w:szCs w:val="16"/>
              </w:rPr>
              <w:t>SCE2507</w:t>
            </w:r>
            <w:r>
              <w:rPr>
                <w:sz w:val="16"/>
                <w:szCs w:val="16"/>
              </w:rPr>
              <w:tab/>
            </w:r>
            <w:r>
              <w:rPr>
                <w:sz w:val="16"/>
                <w:szCs w:val="16"/>
              </w:rPr>
              <w:tab/>
              <w:t>0.96</w:t>
            </w:r>
            <w:r>
              <w:rPr>
                <w:sz w:val="16"/>
                <w:szCs w:val="16"/>
              </w:rPr>
              <w:tab/>
              <w:t>0.96</w:t>
            </w:r>
            <w:r>
              <w:rPr>
                <w:sz w:val="16"/>
                <w:szCs w:val="16"/>
              </w:rPr>
              <w:tab/>
              <w:t>10</w:t>
            </w:r>
          </w:p>
          <w:p w:rsidR="004812E2" w:rsidRDefault="004812E2" w:rsidP="001F5D99">
            <w:pPr>
              <w:tabs>
                <w:tab w:val="decimal" w:pos="1242"/>
                <w:tab w:val="decimal" w:pos="1872"/>
                <w:tab w:val="decimal" w:pos="2501"/>
              </w:tabs>
              <w:spacing w:after="0" w:line="240" w:lineRule="auto"/>
              <w:jc w:val="left"/>
              <w:rPr>
                <w:sz w:val="16"/>
                <w:szCs w:val="16"/>
              </w:rPr>
            </w:pPr>
            <w:r>
              <w:rPr>
                <w:sz w:val="16"/>
                <w:szCs w:val="16"/>
              </w:rPr>
              <w:t>SDGE3029</w:t>
            </w:r>
            <w:r>
              <w:rPr>
                <w:sz w:val="16"/>
                <w:szCs w:val="16"/>
              </w:rPr>
              <w:tab/>
              <w:t>0.94</w:t>
            </w:r>
            <w:r>
              <w:rPr>
                <w:sz w:val="16"/>
                <w:szCs w:val="16"/>
              </w:rPr>
              <w:tab/>
              <w:t>0.94</w:t>
            </w:r>
            <w:r>
              <w:rPr>
                <w:sz w:val="16"/>
                <w:szCs w:val="16"/>
              </w:rPr>
              <w:tab/>
              <w:t>10</w:t>
            </w:r>
          </w:p>
          <w:p w:rsidR="001F5D99" w:rsidRDefault="001F5D99" w:rsidP="001F5D99">
            <w:pPr>
              <w:tabs>
                <w:tab w:val="left" w:pos="1875"/>
                <w:tab w:val="decimal" w:pos="2501"/>
              </w:tabs>
              <w:spacing w:after="0" w:line="240" w:lineRule="auto"/>
              <w:jc w:val="left"/>
              <w:rPr>
                <w:sz w:val="16"/>
                <w:szCs w:val="16"/>
              </w:rPr>
            </w:pPr>
            <w:r>
              <w:rPr>
                <w:sz w:val="16"/>
                <w:szCs w:val="16"/>
              </w:rPr>
              <w:tab/>
              <w:t>Total:</w:t>
            </w:r>
            <w:r>
              <w:rPr>
                <w:sz w:val="16"/>
                <w:szCs w:val="16"/>
              </w:rPr>
              <w:tab/>
              <w:t>30</w:t>
            </w:r>
          </w:p>
          <w:p w:rsidR="004812E2" w:rsidRDefault="004812E2" w:rsidP="00F23F44">
            <w:pPr>
              <w:tabs>
                <w:tab w:val="decimal" w:pos="1242"/>
                <w:tab w:val="decimal" w:pos="1872"/>
                <w:tab w:val="decimal" w:pos="2682"/>
              </w:tabs>
              <w:spacing w:after="0" w:line="240" w:lineRule="auto"/>
              <w:jc w:val="left"/>
              <w:rPr>
                <w:sz w:val="16"/>
                <w:szCs w:val="16"/>
              </w:rPr>
            </w:pPr>
          </w:p>
          <w:p w:rsidR="004812E2" w:rsidRPr="002F22D5" w:rsidRDefault="004812E2" w:rsidP="00F23F44">
            <w:pPr>
              <w:tabs>
                <w:tab w:val="decimal" w:pos="1242"/>
                <w:tab w:val="decimal" w:pos="1872"/>
                <w:tab w:val="decimal" w:pos="2682"/>
              </w:tabs>
              <w:spacing w:after="0" w:line="240" w:lineRule="auto"/>
              <w:jc w:val="left"/>
              <w:rPr>
                <w:sz w:val="16"/>
                <w:szCs w:val="16"/>
              </w:rPr>
            </w:pPr>
            <w:r>
              <w:rPr>
                <w:sz w:val="16"/>
                <w:szCs w:val="16"/>
              </w:rPr>
              <w:t>The actual vendor survey sample sizes were found in the study’s Appendix G.</w:t>
            </w:r>
          </w:p>
        </w:tc>
        <w:tc>
          <w:tcPr>
            <w:tcW w:w="821" w:type="pct"/>
            <w:tcBorders>
              <w:bottom w:val="single" w:sz="12" w:space="0" w:color="000000"/>
            </w:tcBorders>
            <w:vAlign w:val="center"/>
          </w:tcPr>
          <w:p w:rsidR="004812E2" w:rsidRDefault="004812E2" w:rsidP="00F23F44">
            <w:pPr>
              <w:spacing w:after="0" w:line="240" w:lineRule="auto"/>
              <w:ind w:firstLine="160"/>
              <w:jc w:val="left"/>
              <w:rPr>
                <w:sz w:val="16"/>
                <w:szCs w:val="16"/>
              </w:rPr>
            </w:pPr>
            <w:r>
              <w:rPr>
                <w:sz w:val="16"/>
                <w:szCs w:val="16"/>
              </w:rPr>
              <w:t xml:space="preserve">The SRA methodologies were employed along with vendor surveys for several programs.  </w:t>
            </w:r>
            <w:r w:rsidRPr="00C049ED">
              <w:rPr>
                <w:sz w:val="16"/>
                <w:szCs w:val="16"/>
              </w:rPr>
              <w:t>If no customer survey was implemented</w:t>
            </w:r>
            <w:r>
              <w:rPr>
                <w:sz w:val="16"/>
                <w:szCs w:val="16"/>
              </w:rPr>
              <w:t xml:space="preserve"> for the evaluated program</w:t>
            </w:r>
            <w:r w:rsidRPr="00C049ED">
              <w:rPr>
                <w:sz w:val="16"/>
                <w:szCs w:val="16"/>
              </w:rPr>
              <w:t xml:space="preserve">, the </w:t>
            </w:r>
            <w:r>
              <w:rPr>
                <w:sz w:val="16"/>
                <w:szCs w:val="16"/>
              </w:rPr>
              <w:t>vendor survey results</w:t>
            </w:r>
            <w:r w:rsidRPr="00C049ED">
              <w:rPr>
                <w:sz w:val="16"/>
                <w:szCs w:val="16"/>
              </w:rPr>
              <w:t xml:space="preserve"> w</w:t>
            </w:r>
            <w:r>
              <w:rPr>
                <w:sz w:val="16"/>
                <w:szCs w:val="16"/>
              </w:rPr>
              <w:t>ere</w:t>
            </w:r>
            <w:r w:rsidRPr="00C049ED">
              <w:rPr>
                <w:sz w:val="16"/>
                <w:szCs w:val="16"/>
              </w:rPr>
              <w:t xml:space="preserve"> used </w:t>
            </w:r>
            <w:r>
              <w:rPr>
                <w:sz w:val="16"/>
                <w:szCs w:val="16"/>
              </w:rPr>
              <w:t xml:space="preserve">for the </w:t>
            </w:r>
            <w:r w:rsidRPr="00C049ED">
              <w:rPr>
                <w:sz w:val="16"/>
                <w:szCs w:val="16"/>
              </w:rPr>
              <w:t>NTGR</w:t>
            </w:r>
            <w:r>
              <w:rPr>
                <w:sz w:val="16"/>
                <w:szCs w:val="16"/>
              </w:rPr>
              <w:t xml:space="preserve"> estimates</w:t>
            </w:r>
            <w:r w:rsidRPr="00C049ED">
              <w:rPr>
                <w:sz w:val="16"/>
                <w:szCs w:val="16"/>
              </w:rPr>
              <w:t xml:space="preserve">. </w:t>
            </w:r>
            <w:r>
              <w:rPr>
                <w:sz w:val="16"/>
                <w:szCs w:val="16"/>
              </w:rPr>
              <w:t xml:space="preserve"> </w:t>
            </w:r>
            <w:r w:rsidRPr="00C049ED">
              <w:rPr>
                <w:sz w:val="16"/>
                <w:szCs w:val="16"/>
              </w:rPr>
              <w:t xml:space="preserve">If a customer survey was </w:t>
            </w:r>
            <w:r>
              <w:rPr>
                <w:sz w:val="16"/>
                <w:szCs w:val="16"/>
              </w:rPr>
              <w:t>implemented</w:t>
            </w:r>
            <w:r w:rsidRPr="00C049ED">
              <w:rPr>
                <w:sz w:val="16"/>
                <w:szCs w:val="16"/>
              </w:rPr>
              <w:t xml:space="preserve">, the </w:t>
            </w:r>
            <w:r>
              <w:rPr>
                <w:sz w:val="16"/>
                <w:szCs w:val="16"/>
              </w:rPr>
              <w:t xml:space="preserve">vendor survey </w:t>
            </w:r>
            <w:r w:rsidRPr="00C049ED">
              <w:rPr>
                <w:sz w:val="16"/>
                <w:szCs w:val="16"/>
              </w:rPr>
              <w:t xml:space="preserve">score replaced the </w:t>
            </w:r>
            <w:r>
              <w:rPr>
                <w:sz w:val="16"/>
                <w:szCs w:val="16"/>
              </w:rPr>
              <w:t>T</w:t>
            </w:r>
            <w:r w:rsidRPr="00C049ED">
              <w:rPr>
                <w:sz w:val="16"/>
                <w:szCs w:val="16"/>
              </w:rPr>
              <w:t xml:space="preserve">iming and </w:t>
            </w:r>
            <w:r>
              <w:rPr>
                <w:sz w:val="16"/>
                <w:szCs w:val="16"/>
              </w:rPr>
              <w:t>S</w:t>
            </w:r>
            <w:r w:rsidRPr="00C049ED">
              <w:rPr>
                <w:sz w:val="16"/>
                <w:szCs w:val="16"/>
              </w:rPr>
              <w:t xml:space="preserve">election </w:t>
            </w:r>
            <w:r>
              <w:rPr>
                <w:sz w:val="16"/>
                <w:szCs w:val="16"/>
              </w:rPr>
              <w:t>score from the customer survey.  Vendor surveys were conducted for all the non-residential programs.  A customer survey was conducted only for the SDGE 3029 program.  The survey was considered not a good fit for the customer class since it produced a 97% free-ridership value, diametrically the opposite result of the vendor surveys.  Hence, the study NTGR results use only the vendor surveys to produce a consistent set of NTGR values.</w:t>
            </w:r>
          </w:p>
          <w:p w:rsidR="004812E2" w:rsidRPr="00F5763D" w:rsidRDefault="004812E2" w:rsidP="00F23F44">
            <w:pPr>
              <w:spacing w:after="0" w:line="240" w:lineRule="auto"/>
              <w:ind w:firstLine="160"/>
              <w:jc w:val="left"/>
              <w:rPr>
                <w:sz w:val="16"/>
                <w:szCs w:val="16"/>
              </w:rPr>
            </w:pPr>
          </w:p>
        </w:tc>
        <w:tc>
          <w:tcPr>
            <w:tcW w:w="825" w:type="pct"/>
            <w:tcBorders>
              <w:bottom w:val="single" w:sz="12" w:space="0" w:color="000000"/>
              <w:right w:val="single" w:sz="12" w:space="0" w:color="000000"/>
            </w:tcBorders>
            <w:vAlign w:val="center"/>
          </w:tcPr>
          <w:p w:rsidR="004812E2" w:rsidRDefault="004812E2" w:rsidP="00F30DB1">
            <w:pPr>
              <w:spacing w:after="0" w:line="240" w:lineRule="auto"/>
              <w:ind w:firstLine="158"/>
              <w:jc w:val="left"/>
              <w:rPr>
                <w:sz w:val="16"/>
                <w:szCs w:val="16"/>
              </w:rPr>
            </w:pPr>
            <w:r>
              <w:rPr>
                <w:sz w:val="16"/>
                <w:szCs w:val="16"/>
              </w:rPr>
              <w:t xml:space="preserve">The report does not separate and present the results by the upstream and downstream delivery approaches.  Appendix G indicates that the participating distributors surveyed were from the upstream programs.  Also, the study relied solely on the vendor surveys for its results, which tend to produce high NTGR values.  The study does not clearly indicate whether the non-residential results were adjusted for either partial and/or deferred free-ridership. The presented NTGR values are the result of only vendor surveys and the VMAX score.  It is difficult to conclude that the study results are a reliable indicator of the program’s free-ridership due to the small sample sizes and sole reliance on the vendor surveys.  </w:t>
            </w:r>
          </w:p>
          <w:p w:rsidR="004812E2" w:rsidRDefault="004812E2" w:rsidP="00F23F44">
            <w:pPr>
              <w:spacing w:after="0" w:line="240" w:lineRule="auto"/>
              <w:ind w:firstLine="158"/>
              <w:jc w:val="left"/>
              <w:rPr>
                <w:b/>
                <w:sz w:val="16"/>
                <w:szCs w:val="16"/>
              </w:rPr>
            </w:pPr>
            <w:r>
              <w:rPr>
                <w:b/>
                <w:sz w:val="16"/>
                <w:szCs w:val="16"/>
              </w:rPr>
              <w:t>Recommend that no adjustments to the NTGR values for Packaged and Split Systems AC Replacements be made based on the study’s results.</w:t>
            </w:r>
          </w:p>
          <w:p w:rsidR="004812E2" w:rsidRPr="00C76148" w:rsidRDefault="004812E2" w:rsidP="00F23F44">
            <w:pPr>
              <w:spacing w:after="0" w:line="240" w:lineRule="auto"/>
              <w:ind w:firstLine="158"/>
              <w:jc w:val="left"/>
              <w:rPr>
                <w:b/>
                <w:sz w:val="16"/>
                <w:szCs w:val="16"/>
              </w:rPr>
            </w:pPr>
          </w:p>
        </w:tc>
      </w:tr>
    </w:tbl>
    <w:p w:rsidR="00EE2CB8" w:rsidRDefault="00EE2CB8" w:rsidP="00B253DF">
      <w:pPr>
        <w:sectPr w:rsidR="00EE2CB8" w:rsidSect="00536C88">
          <w:headerReference w:type="default" r:id="rId8"/>
          <w:footerReference w:type="default" r:id="rId9"/>
          <w:headerReference w:type="first" r:id="rId10"/>
          <w:footerReference w:type="first" r:id="rId11"/>
          <w:pgSz w:w="15840" w:h="12240" w:orient="landscape" w:code="1"/>
          <w:pgMar w:top="1440" w:right="1440" w:bottom="1440" w:left="1440" w:header="720" w:footer="720" w:gutter="0"/>
          <w:pgNumType w:chapStyle="1"/>
          <w:cols w:space="720"/>
          <w:titlePg/>
          <w:docGrid w:linePitch="326"/>
        </w:sectPr>
      </w:pPr>
    </w:p>
    <w:p w:rsidR="008D7823" w:rsidRPr="00312DEB" w:rsidRDefault="007A71F8" w:rsidP="007A71F8">
      <w:pPr>
        <w:pStyle w:val="Caption"/>
      </w:pPr>
      <w:r>
        <w:lastRenderedPageBreak/>
        <w:t>Table A-3-</w:t>
      </w:r>
      <w:fldSimple w:instr=" SEQ Table \* ARABIC \s 1 ">
        <w:r>
          <w:rPr>
            <w:noProof/>
          </w:rPr>
          <w:t>2</w:t>
        </w:r>
      </w:fldSimple>
      <w:r>
        <w:t xml:space="preserve">: </w:t>
      </w:r>
      <w:r w:rsidR="00EE2CB8" w:rsidRPr="00312DEB">
        <w:t>Weight Averaged 2006 – 2008 NTGR Values for the 2011 DEER Update</w:t>
      </w:r>
    </w:p>
    <w:p w:rsidR="00B31FF8" w:rsidRDefault="009656D5" w:rsidP="00B31FF8">
      <w:pPr>
        <w:spacing w:after="0" w:line="240" w:lineRule="auto"/>
      </w:pPr>
      <w:r>
        <w:object w:dxaOrig="15714" w:dyaOrig="2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3pt;height:121.95pt" o:ole="">
            <v:imagedata r:id="rId12" o:title=""/>
          </v:shape>
          <o:OLEObject Type="Embed" ProgID="Excel.Sheet.12" ShapeID="_x0000_i1025" DrawAspect="Content" ObjectID="_1381323002" r:id="rId13"/>
        </w:object>
      </w:r>
    </w:p>
    <w:p w:rsidR="00B31FF8" w:rsidRDefault="00B31FF8" w:rsidP="00B31FF8">
      <w:pPr>
        <w:spacing w:after="0" w:line="240" w:lineRule="auto"/>
      </w:pPr>
      <w:r>
        <w:object w:dxaOrig="22068" w:dyaOrig="2749">
          <v:shape id="_x0000_i1026" type="#_x0000_t75" style="width:652.3pt;height:138.1pt" o:ole="">
            <v:imagedata r:id="rId14" o:title=""/>
          </v:shape>
          <o:OLEObject Type="Embed" ProgID="Excel.Sheet.12" ShapeID="_x0000_i1026" DrawAspect="Content" ObjectID="_1381323003" r:id="rId15"/>
        </w:object>
      </w:r>
    </w:p>
    <w:p w:rsidR="00B31FF8" w:rsidRDefault="007E7AB3" w:rsidP="00B253DF">
      <w:r>
        <w:object w:dxaOrig="17048" w:dyaOrig="2749">
          <v:shape id="_x0000_i1027" type="#_x0000_t75" style="width:651.2pt;height:138.1pt" o:ole="">
            <v:imagedata r:id="rId16" o:title=""/>
          </v:shape>
          <o:OLEObject Type="Embed" ProgID="Excel.Sheet.12" ShapeID="_x0000_i1027" DrawAspect="Content" ObjectID="_1381323004" r:id="rId17"/>
        </w:object>
      </w:r>
    </w:p>
    <w:p w:rsidR="00226D32" w:rsidRPr="00B253DF" w:rsidRDefault="00890D60" w:rsidP="00B253DF">
      <w:r>
        <w:object w:dxaOrig="25756" w:dyaOrig="5001">
          <v:shape id="_x0000_i1028" type="#_x0000_t75" style="width:654.45pt;height:249.85pt" o:ole="">
            <v:imagedata r:id="rId18" o:title=""/>
          </v:shape>
          <o:OLEObject Type="Embed" ProgID="Excel.Sheet.12" ShapeID="_x0000_i1028" DrawAspect="Content" ObjectID="_1381323005" r:id="rId19"/>
        </w:object>
      </w:r>
    </w:p>
    <w:sectPr w:rsidR="00226D32" w:rsidRPr="00B253DF" w:rsidSect="00536C88">
      <w:headerReference w:type="default" r:id="rId20"/>
      <w:footerReference w:type="default" r:id="rId21"/>
      <w:footerReference w:type="first" r:id="rId22"/>
      <w:pgSz w:w="15840" w:h="12240" w:orient="landscape" w:code="1"/>
      <w:pgMar w:top="1440" w:right="1440" w:bottom="1440" w:left="1440" w:header="720" w:footer="720" w:gutter="0"/>
      <w:pgNumType w:chapStyle="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EC5" w:rsidRDefault="00661EC5" w:rsidP="00B253DF">
      <w:pPr>
        <w:spacing w:after="0" w:line="240" w:lineRule="auto"/>
      </w:pPr>
      <w:r>
        <w:separator/>
      </w:r>
    </w:p>
  </w:endnote>
  <w:endnote w:type="continuationSeparator" w:id="0">
    <w:p w:rsidR="00661EC5" w:rsidRDefault="00661EC5" w:rsidP="00B253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EC5" w:rsidRPr="007A71F8" w:rsidRDefault="00661EC5" w:rsidP="00F23F44">
    <w:pPr>
      <w:pStyle w:val="Footer"/>
      <w:tabs>
        <w:tab w:val="clear" w:pos="4680"/>
        <w:tab w:val="clear" w:pos="9360"/>
        <w:tab w:val="center" w:pos="6300"/>
        <w:tab w:val="right" w:pos="12960"/>
      </w:tabs>
    </w:pPr>
    <w:r>
      <w:t>Itron, Inc.</w:t>
    </w:r>
    <w:r>
      <w:tab/>
    </w:r>
    <w:r w:rsidR="007A71F8">
      <w:t>A-3-</w:t>
    </w:r>
    <w:fldSimple w:instr=" PAGE   \* MERGEFORMAT ">
      <w:r w:rsidR="007A71F8">
        <w:rPr>
          <w:noProof/>
        </w:rPr>
        <w:t>4</w:t>
      </w:r>
    </w:fldSimple>
    <w:r>
      <w:tab/>
    </w:r>
    <w:fldSimple w:instr=" REF _Ref307580882 \h  \* MERGEFORMAT ">
      <w:r w:rsidR="007A71F8" w:rsidRPr="007A71F8">
        <w:rPr>
          <w:rFonts w:eastAsiaTheme="minorHAnsi"/>
        </w:rPr>
        <w:t>Appendix A-3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EC5" w:rsidRPr="007A71F8" w:rsidRDefault="00661EC5" w:rsidP="007A71F8">
    <w:pPr>
      <w:pStyle w:val="Footer"/>
      <w:tabs>
        <w:tab w:val="clear" w:pos="4680"/>
        <w:tab w:val="clear" w:pos="9360"/>
        <w:tab w:val="left" w:pos="6104"/>
        <w:tab w:val="center" w:pos="6300"/>
        <w:tab w:val="right" w:pos="12960"/>
      </w:tabs>
    </w:pPr>
    <w:r w:rsidRPr="007A71F8">
      <w:t>Itron, Inc.</w:t>
    </w:r>
    <w:r w:rsidRPr="007A71F8">
      <w:tab/>
    </w:r>
    <w:r w:rsidR="007A71F8" w:rsidRPr="007A71F8">
      <w:tab/>
      <w:t>A-3-</w:t>
    </w:r>
    <w:fldSimple w:instr=" PAGE   \* MERGEFORMAT ">
      <w:r w:rsidR="007A71F8">
        <w:rPr>
          <w:noProof/>
        </w:rPr>
        <w:t>1</w:t>
      </w:r>
    </w:fldSimple>
    <w:r w:rsidRPr="007A71F8">
      <w:tab/>
    </w:r>
    <w:fldSimple w:instr=" REF _Ref307580882 \h  \* MERGEFORMAT ">
      <w:r w:rsidR="007A71F8" w:rsidRPr="007A71F8">
        <w:rPr>
          <w:rFonts w:eastAsiaTheme="minorHAnsi"/>
        </w:rPr>
        <w:t>Appendix A-3</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EC5" w:rsidRPr="007A71F8" w:rsidRDefault="00661EC5" w:rsidP="00F23F44">
    <w:pPr>
      <w:pStyle w:val="Footer"/>
      <w:tabs>
        <w:tab w:val="clear" w:pos="4680"/>
        <w:tab w:val="clear" w:pos="9360"/>
        <w:tab w:val="center" w:pos="6300"/>
        <w:tab w:val="right" w:pos="12960"/>
      </w:tabs>
    </w:pPr>
    <w:r>
      <w:t>Itron, Inc.</w:t>
    </w:r>
    <w:r>
      <w:tab/>
    </w:r>
    <w:r w:rsidR="007A71F8">
      <w:t>A-3-</w:t>
    </w:r>
    <w:fldSimple w:instr=" PAGE   \* MERGEFORMAT ">
      <w:r w:rsidR="007A71F8">
        <w:rPr>
          <w:noProof/>
        </w:rPr>
        <w:t>6</w:t>
      </w:r>
    </w:fldSimple>
    <w:r>
      <w:tab/>
    </w:r>
    <w:fldSimple w:instr=" REF _Ref307580882 \h  \* MERGEFORMAT ">
      <w:r w:rsidR="007A71F8" w:rsidRPr="007A71F8">
        <w:rPr>
          <w:rFonts w:eastAsiaTheme="minorHAnsi"/>
        </w:rPr>
        <w:t>Appendix A-3</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EC5" w:rsidRPr="007A71F8" w:rsidRDefault="00661EC5" w:rsidP="004812E2">
    <w:pPr>
      <w:pStyle w:val="Footer"/>
      <w:tabs>
        <w:tab w:val="clear" w:pos="4680"/>
        <w:tab w:val="clear" w:pos="9360"/>
        <w:tab w:val="center" w:pos="6300"/>
        <w:tab w:val="right" w:pos="12960"/>
      </w:tabs>
    </w:pPr>
    <w:r>
      <w:t>Itron, Inc.</w:t>
    </w:r>
    <w:r>
      <w:tab/>
    </w:r>
    <w:r w:rsidR="007A71F8">
      <w:t>A-3-</w:t>
    </w:r>
    <w:fldSimple w:instr=" PAGE   \* MERGEFORMAT ">
      <w:r w:rsidR="007A71F8">
        <w:rPr>
          <w:noProof/>
        </w:rPr>
        <w:t>5</w:t>
      </w:r>
    </w:fldSimple>
    <w:r>
      <w:tab/>
    </w:r>
    <w:fldSimple w:instr=" REF _Ref307580882 \h  \* MERGEFORMAT ">
      <w:r w:rsidR="007A71F8" w:rsidRPr="007A71F8">
        <w:rPr>
          <w:rFonts w:eastAsiaTheme="minorHAnsi"/>
        </w:rPr>
        <w:t>Appendix A-3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EC5" w:rsidRDefault="00661EC5" w:rsidP="00B253DF">
      <w:pPr>
        <w:spacing w:after="0" w:line="240" w:lineRule="auto"/>
      </w:pPr>
      <w:r>
        <w:separator/>
      </w:r>
    </w:p>
  </w:footnote>
  <w:footnote w:type="continuationSeparator" w:id="0">
    <w:p w:rsidR="00661EC5" w:rsidRDefault="00661EC5" w:rsidP="00B253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EC5" w:rsidRDefault="00661EC5">
    <w:pPr>
      <w:pStyle w:val="Header"/>
    </w:pPr>
    <w:r w:rsidRPr="0007387C">
      <w:t>Database for Energy Efficiency Resources: 2011 Update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EC5" w:rsidRDefault="00661EC5">
    <w:pPr>
      <w:pStyle w:val="Header"/>
    </w:pPr>
    <w:r w:rsidRPr="0007387C">
      <w:t>Database for Energy Efficiency Resources: 2011 Update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EC5" w:rsidRDefault="00661EC5">
    <w:pPr>
      <w:pStyle w:val="Header"/>
    </w:pPr>
    <w:r w:rsidRPr="0007387C">
      <w:t>Database for Energy Efficiency Resources: 2011 Update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0747692"/>
    <w:lvl w:ilvl="0">
      <w:start w:val="1"/>
      <w:numFmt w:val="bullet"/>
      <w:pStyle w:val="ListBullet2"/>
      <w:lvlText w:val="─"/>
      <w:lvlJc w:val="left"/>
      <w:pPr>
        <w:ind w:left="1800" w:hanging="360"/>
      </w:pPr>
      <w:rPr>
        <w:rFonts w:ascii="Times New Roman" w:hAnsi="Times New Roman" w:cs="Times New Roman" w:hint="default"/>
        <w:sz w:val="24"/>
      </w:rPr>
    </w:lvl>
  </w:abstractNum>
  <w:abstractNum w:abstractNumId="1">
    <w:nsid w:val="FFFFFFFB"/>
    <w:multiLevelType w:val="multilevel"/>
    <w:tmpl w:val="EAE03C20"/>
    <w:lvl w:ilvl="0">
      <w:start w:val="2"/>
      <w:numFmt w:val="decimal"/>
      <w:pStyle w:val="Heading1"/>
      <w:suff w:val="nothing"/>
      <w:lvlText w:val="%1"/>
      <w:lvlJc w:val="left"/>
      <w:pPr>
        <w:ind w:left="0" w:firstLine="0"/>
      </w:pPr>
      <w:rPr>
        <w:rFonts w:ascii="Arial" w:hAnsi="Arial" w:hint="default"/>
        <w:b/>
        <w:i/>
        <w:sz w:val="72"/>
      </w:rPr>
    </w:lvl>
    <w:lvl w:ilvl="1">
      <w:start w:val="1"/>
      <w:numFmt w:val="decimal"/>
      <w:pStyle w:val="Heading2"/>
      <w:suff w:val="nothing"/>
      <w:lvlText w:val="%1.%2  "/>
      <w:lvlJc w:val="left"/>
      <w:pPr>
        <w:ind w:left="0" w:firstLine="0"/>
      </w:pPr>
      <w:rPr>
        <w:rFonts w:ascii="Arial" w:hAnsi="Arial" w:hint="default"/>
        <w:b/>
        <w:i w:val="0"/>
        <w:sz w:val="28"/>
      </w:rPr>
    </w:lvl>
    <w:lvl w:ilvl="2">
      <w:start w:val="1"/>
      <w:numFmt w:val="decimal"/>
      <w:pStyle w:val="Heading3"/>
      <w:suff w:val="nothing"/>
      <w:lvlText w:val="%1.%2.%3  "/>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
    <w:nsid w:val="1744527C"/>
    <w:multiLevelType w:val="multilevel"/>
    <w:tmpl w:val="67F0C0C4"/>
    <w:numStyleLink w:val="CnAListBullets"/>
  </w:abstractNum>
  <w:abstractNum w:abstractNumId="3">
    <w:nsid w:val="23750051"/>
    <w:multiLevelType w:val="multilevel"/>
    <w:tmpl w:val="67F0C0C4"/>
    <w:numStyleLink w:val="CnAListBullets"/>
  </w:abstractNum>
  <w:abstractNum w:abstractNumId="4">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cs="Times New Roman" w:hint="default"/>
        <w:b/>
        <w:sz w:val="24"/>
      </w:rPr>
    </w:lvl>
    <w:lvl w:ilvl="2">
      <w:start w:val="1"/>
      <w:numFmt w:val="bullet"/>
      <w:lvlText w:val="-"/>
      <w:lvlJc w:val="left"/>
      <w:pPr>
        <w:ind w:left="1584" w:hanging="432"/>
      </w:pPr>
      <w:rPr>
        <w:rFonts w:ascii="Times New Roman" w:hAnsi="Times New Roman" w:cs="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5">
    <w:nsid w:val="30ED2698"/>
    <w:multiLevelType w:val="hybridMultilevel"/>
    <w:tmpl w:val="B5CE4A9C"/>
    <w:lvl w:ilvl="0" w:tplc="BFD0113A">
      <w:start w:val="1"/>
      <w:numFmt w:val="decimal"/>
      <w:lvlText w:val="%1."/>
      <w:lvlJc w:val="left"/>
      <w:pPr>
        <w:ind w:left="7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A21EF9"/>
    <w:multiLevelType w:val="multilevel"/>
    <w:tmpl w:val="67F0C0C4"/>
    <w:numStyleLink w:val="CnAListBullets"/>
  </w:abstractNum>
  <w:abstractNum w:abstractNumId="7">
    <w:nsid w:val="50EF1B6A"/>
    <w:multiLevelType w:val="hybridMultilevel"/>
    <w:tmpl w:val="ED161E26"/>
    <w:lvl w:ilvl="0" w:tplc="27F0739E">
      <w:start w:val="1"/>
      <w:numFmt w:val="decimal"/>
      <w:lvlText w:val="%1."/>
      <w:lvlJc w:val="left"/>
      <w:pPr>
        <w:ind w:left="734"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8">
    <w:nsid w:val="6ABC0982"/>
    <w:multiLevelType w:val="multilevel"/>
    <w:tmpl w:val="04090021"/>
    <w:styleLink w:val="Itron"/>
    <w:lvl w:ilvl="0">
      <w:start w:val="1"/>
      <w:numFmt w:val="bullet"/>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cs="Times New Roman" w:hint="default"/>
        <w:b/>
        <w:sz w:val="24"/>
      </w:rPr>
    </w:lvl>
    <w:lvl w:ilvl="2">
      <w:start w:val="1"/>
      <w:numFmt w:val="bullet"/>
      <w:lvlText w:val="-"/>
      <w:lvlJc w:val="left"/>
      <w:pPr>
        <w:ind w:left="2520" w:hanging="360"/>
      </w:pPr>
      <w:rPr>
        <w:rFonts w:ascii="Times New Roman" w:hAnsi="Times New Roman" w:cs="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num w:numId="1">
    <w:abstractNumId w:val="8"/>
  </w:num>
  <w:num w:numId="2">
    <w:abstractNumId w:val="4"/>
  </w:num>
  <w:num w:numId="3">
    <w:abstractNumId w:val="0"/>
  </w:num>
  <w:num w:numId="4">
    <w:abstractNumId w:val="1"/>
  </w:num>
  <w:num w:numId="5">
    <w:abstractNumId w:val="2"/>
  </w:num>
  <w:num w:numId="6">
    <w:abstractNumId w:val="3"/>
  </w:num>
  <w:num w:numId="7">
    <w:abstractNumId w:val="6"/>
  </w:num>
  <w:num w:numId="8">
    <w:abstractNumId w:val="7"/>
  </w:num>
  <w:num w:numId="9">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intFractionalCharacterWidth/>
  <w:embedSystemFonts/>
  <w:proofState w:spelling="clean" w:grammar="clean"/>
  <w:stylePaneFormatFilter w:val="3F01"/>
  <w:stylePaneSortMethod w:val="0004"/>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hdrShapeDefaults>
    <o:shapedefaults v:ext="edit" spidmax="54273"/>
  </w:hdrShapeDefaults>
  <w:footnotePr>
    <w:footnote w:id="-1"/>
    <w:footnote w:id="0"/>
  </w:footnotePr>
  <w:endnotePr>
    <w:endnote w:id="-1"/>
    <w:endnote w:id="0"/>
  </w:endnotePr>
  <w:compat/>
  <w:rsids>
    <w:rsidRoot w:val="00B253DF"/>
    <w:rsid w:val="00000947"/>
    <w:rsid w:val="00017D18"/>
    <w:rsid w:val="00020ACB"/>
    <w:rsid w:val="00022F17"/>
    <w:rsid w:val="000238B7"/>
    <w:rsid w:val="00026357"/>
    <w:rsid w:val="00026BEC"/>
    <w:rsid w:val="00054237"/>
    <w:rsid w:val="0007312F"/>
    <w:rsid w:val="0007387C"/>
    <w:rsid w:val="00075645"/>
    <w:rsid w:val="00077287"/>
    <w:rsid w:val="00077F88"/>
    <w:rsid w:val="000935BD"/>
    <w:rsid w:val="0009375D"/>
    <w:rsid w:val="00096103"/>
    <w:rsid w:val="00096A50"/>
    <w:rsid w:val="00096D67"/>
    <w:rsid w:val="00097FE2"/>
    <w:rsid w:val="000B0BC8"/>
    <w:rsid w:val="000B1D6F"/>
    <w:rsid w:val="000B2BEB"/>
    <w:rsid w:val="000B731D"/>
    <w:rsid w:val="000C6631"/>
    <w:rsid w:val="000D15B0"/>
    <w:rsid w:val="000D688E"/>
    <w:rsid w:val="000E2647"/>
    <w:rsid w:val="000E539F"/>
    <w:rsid w:val="000E6E55"/>
    <w:rsid w:val="000F74BB"/>
    <w:rsid w:val="00104D46"/>
    <w:rsid w:val="0011319A"/>
    <w:rsid w:val="00121653"/>
    <w:rsid w:val="00126A9D"/>
    <w:rsid w:val="00126F63"/>
    <w:rsid w:val="001276CA"/>
    <w:rsid w:val="001370AC"/>
    <w:rsid w:val="00143D3E"/>
    <w:rsid w:val="001461ED"/>
    <w:rsid w:val="00146F57"/>
    <w:rsid w:val="00150886"/>
    <w:rsid w:val="001515EB"/>
    <w:rsid w:val="00157EA9"/>
    <w:rsid w:val="00166A00"/>
    <w:rsid w:val="001700C4"/>
    <w:rsid w:val="001712B1"/>
    <w:rsid w:val="00191491"/>
    <w:rsid w:val="00197A2E"/>
    <w:rsid w:val="001A2A1B"/>
    <w:rsid w:val="001B177F"/>
    <w:rsid w:val="001C005E"/>
    <w:rsid w:val="001C2E82"/>
    <w:rsid w:val="001D0AF7"/>
    <w:rsid w:val="001D31E5"/>
    <w:rsid w:val="001E0716"/>
    <w:rsid w:val="001E32AE"/>
    <w:rsid w:val="001E7BE2"/>
    <w:rsid w:val="001F5D99"/>
    <w:rsid w:val="00205160"/>
    <w:rsid w:val="00213A89"/>
    <w:rsid w:val="00226D32"/>
    <w:rsid w:val="00230BF7"/>
    <w:rsid w:val="00231EB1"/>
    <w:rsid w:val="00241C10"/>
    <w:rsid w:val="00246847"/>
    <w:rsid w:val="00247593"/>
    <w:rsid w:val="00260180"/>
    <w:rsid w:val="002663FA"/>
    <w:rsid w:val="00274C09"/>
    <w:rsid w:val="00275841"/>
    <w:rsid w:val="00277449"/>
    <w:rsid w:val="00280F6B"/>
    <w:rsid w:val="00290316"/>
    <w:rsid w:val="00292F27"/>
    <w:rsid w:val="002A6CAA"/>
    <w:rsid w:val="002B7BCD"/>
    <w:rsid w:val="002C77AA"/>
    <w:rsid w:val="002C7AFB"/>
    <w:rsid w:val="002D4FB8"/>
    <w:rsid w:val="002D6993"/>
    <w:rsid w:val="00301ECA"/>
    <w:rsid w:val="00305900"/>
    <w:rsid w:val="0031087B"/>
    <w:rsid w:val="00311224"/>
    <w:rsid w:val="003116EA"/>
    <w:rsid w:val="0031286E"/>
    <w:rsid w:val="00312DEB"/>
    <w:rsid w:val="00315C37"/>
    <w:rsid w:val="00317ED5"/>
    <w:rsid w:val="003240BC"/>
    <w:rsid w:val="003255E0"/>
    <w:rsid w:val="00346291"/>
    <w:rsid w:val="00351514"/>
    <w:rsid w:val="00355DD4"/>
    <w:rsid w:val="003563C3"/>
    <w:rsid w:val="00362063"/>
    <w:rsid w:val="003649C0"/>
    <w:rsid w:val="00372A4B"/>
    <w:rsid w:val="0038646E"/>
    <w:rsid w:val="00394A99"/>
    <w:rsid w:val="003A3041"/>
    <w:rsid w:val="003B15C1"/>
    <w:rsid w:val="003B2EC3"/>
    <w:rsid w:val="003C02EB"/>
    <w:rsid w:val="003D3FF2"/>
    <w:rsid w:val="003E1694"/>
    <w:rsid w:val="003E6290"/>
    <w:rsid w:val="003E6375"/>
    <w:rsid w:val="003F505C"/>
    <w:rsid w:val="003F678D"/>
    <w:rsid w:val="00400DF8"/>
    <w:rsid w:val="004070F0"/>
    <w:rsid w:val="00415415"/>
    <w:rsid w:val="00415F0C"/>
    <w:rsid w:val="00416B28"/>
    <w:rsid w:val="004211B7"/>
    <w:rsid w:val="00423113"/>
    <w:rsid w:val="00427454"/>
    <w:rsid w:val="0043551E"/>
    <w:rsid w:val="00437726"/>
    <w:rsid w:val="004409B2"/>
    <w:rsid w:val="00455856"/>
    <w:rsid w:val="004564B9"/>
    <w:rsid w:val="00467A6A"/>
    <w:rsid w:val="0047130C"/>
    <w:rsid w:val="004812E2"/>
    <w:rsid w:val="004819BB"/>
    <w:rsid w:val="00483A87"/>
    <w:rsid w:val="00485477"/>
    <w:rsid w:val="004B0FCC"/>
    <w:rsid w:val="004B3E4B"/>
    <w:rsid w:val="004B40B1"/>
    <w:rsid w:val="004B46F8"/>
    <w:rsid w:val="004C30D2"/>
    <w:rsid w:val="004C4005"/>
    <w:rsid w:val="004C7495"/>
    <w:rsid w:val="004E0AD6"/>
    <w:rsid w:val="0050194C"/>
    <w:rsid w:val="00503033"/>
    <w:rsid w:val="00513E82"/>
    <w:rsid w:val="005168BB"/>
    <w:rsid w:val="00521A5F"/>
    <w:rsid w:val="00521A9C"/>
    <w:rsid w:val="00536C88"/>
    <w:rsid w:val="00537D1A"/>
    <w:rsid w:val="005528D8"/>
    <w:rsid w:val="005529D5"/>
    <w:rsid w:val="00552C8F"/>
    <w:rsid w:val="005557EF"/>
    <w:rsid w:val="0055720C"/>
    <w:rsid w:val="0055783D"/>
    <w:rsid w:val="00557A79"/>
    <w:rsid w:val="00565425"/>
    <w:rsid w:val="0056560B"/>
    <w:rsid w:val="005658B0"/>
    <w:rsid w:val="00565D8A"/>
    <w:rsid w:val="00573DEC"/>
    <w:rsid w:val="00577241"/>
    <w:rsid w:val="00580BAD"/>
    <w:rsid w:val="0059308D"/>
    <w:rsid w:val="005939CC"/>
    <w:rsid w:val="00596D69"/>
    <w:rsid w:val="005B3E96"/>
    <w:rsid w:val="005C0D2F"/>
    <w:rsid w:val="005D5666"/>
    <w:rsid w:val="005D596C"/>
    <w:rsid w:val="005F3293"/>
    <w:rsid w:val="005F5933"/>
    <w:rsid w:val="00602710"/>
    <w:rsid w:val="00602E28"/>
    <w:rsid w:val="00603EEC"/>
    <w:rsid w:val="006148F7"/>
    <w:rsid w:val="00614BA7"/>
    <w:rsid w:val="00620143"/>
    <w:rsid w:val="006232E8"/>
    <w:rsid w:val="00625E61"/>
    <w:rsid w:val="0063509F"/>
    <w:rsid w:val="006412F4"/>
    <w:rsid w:val="00656524"/>
    <w:rsid w:val="00657787"/>
    <w:rsid w:val="00661EC5"/>
    <w:rsid w:val="00664CF0"/>
    <w:rsid w:val="00682A57"/>
    <w:rsid w:val="006979A5"/>
    <w:rsid w:val="006B312C"/>
    <w:rsid w:val="006B7229"/>
    <w:rsid w:val="006C0097"/>
    <w:rsid w:val="006C080F"/>
    <w:rsid w:val="006C0E5E"/>
    <w:rsid w:val="006C1F61"/>
    <w:rsid w:val="006C7E47"/>
    <w:rsid w:val="006E657C"/>
    <w:rsid w:val="006F3E85"/>
    <w:rsid w:val="00701BEA"/>
    <w:rsid w:val="00706638"/>
    <w:rsid w:val="007113FC"/>
    <w:rsid w:val="007141BD"/>
    <w:rsid w:val="00714D3B"/>
    <w:rsid w:val="0071541C"/>
    <w:rsid w:val="0071570C"/>
    <w:rsid w:val="00715736"/>
    <w:rsid w:val="007316AA"/>
    <w:rsid w:val="00741807"/>
    <w:rsid w:val="0075386B"/>
    <w:rsid w:val="00754389"/>
    <w:rsid w:val="00754D3E"/>
    <w:rsid w:val="00763661"/>
    <w:rsid w:val="007740B6"/>
    <w:rsid w:val="00775E7E"/>
    <w:rsid w:val="00775F6B"/>
    <w:rsid w:val="00776572"/>
    <w:rsid w:val="00777A7C"/>
    <w:rsid w:val="00783EDA"/>
    <w:rsid w:val="00790A7E"/>
    <w:rsid w:val="00790E9E"/>
    <w:rsid w:val="00791652"/>
    <w:rsid w:val="007A71F8"/>
    <w:rsid w:val="007B0DCA"/>
    <w:rsid w:val="007B1B87"/>
    <w:rsid w:val="007B4132"/>
    <w:rsid w:val="007B5E0F"/>
    <w:rsid w:val="007B693A"/>
    <w:rsid w:val="007C2ED2"/>
    <w:rsid w:val="007C3DE2"/>
    <w:rsid w:val="007C6F54"/>
    <w:rsid w:val="007D5D84"/>
    <w:rsid w:val="007D7C63"/>
    <w:rsid w:val="007E7AB3"/>
    <w:rsid w:val="007E7B56"/>
    <w:rsid w:val="007F1AFB"/>
    <w:rsid w:val="007F293B"/>
    <w:rsid w:val="00803961"/>
    <w:rsid w:val="0081057C"/>
    <w:rsid w:val="008111FE"/>
    <w:rsid w:val="00811304"/>
    <w:rsid w:val="00817DEE"/>
    <w:rsid w:val="00824679"/>
    <w:rsid w:val="00826B36"/>
    <w:rsid w:val="00826D05"/>
    <w:rsid w:val="0083001B"/>
    <w:rsid w:val="008311EB"/>
    <w:rsid w:val="00835EC2"/>
    <w:rsid w:val="008472D8"/>
    <w:rsid w:val="00857BBF"/>
    <w:rsid w:val="00861062"/>
    <w:rsid w:val="00862E8B"/>
    <w:rsid w:val="008646A2"/>
    <w:rsid w:val="0086676C"/>
    <w:rsid w:val="00874650"/>
    <w:rsid w:val="00875025"/>
    <w:rsid w:val="00877628"/>
    <w:rsid w:val="00881049"/>
    <w:rsid w:val="00885374"/>
    <w:rsid w:val="008871C1"/>
    <w:rsid w:val="008873D0"/>
    <w:rsid w:val="00890D60"/>
    <w:rsid w:val="0089278A"/>
    <w:rsid w:val="0089429D"/>
    <w:rsid w:val="008A271C"/>
    <w:rsid w:val="008C3DA3"/>
    <w:rsid w:val="008C607B"/>
    <w:rsid w:val="008D0B3A"/>
    <w:rsid w:val="008D7727"/>
    <w:rsid w:val="008D7823"/>
    <w:rsid w:val="008E2E63"/>
    <w:rsid w:val="008E45F8"/>
    <w:rsid w:val="008F6F18"/>
    <w:rsid w:val="0091065E"/>
    <w:rsid w:val="0092492B"/>
    <w:rsid w:val="00941A1C"/>
    <w:rsid w:val="00942E75"/>
    <w:rsid w:val="00952B7A"/>
    <w:rsid w:val="009558AE"/>
    <w:rsid w:val="00957889"/>
    <w:rsid w:val="009656D5"/>
    <w:rsid w:val="00972424"/>
    <w:rsid w:val="00982C9F"/>
    <w:rsid w:val="0098390D"/>
    <w:rsid w:val="00990F68"/>
    <w:rsid w:val="009A0BD3"/>
    <w:rsid w:val="009A2C36"/>
    <w:rsid w:val="009A47EA"/>
    <w:rsid w:val="009B0D60"/>
    <w:rsid w:val="009B6472"/>
    <w:rsid w:val="009C3564"/>
    <w:rsid w:val="009C5BA6"/>
    <w:rsid w:val="009D0319"/>
    <w:rsid w:val="009D03E0"/>
    <w:rsid w:val="009D290C"/>
    <w:rsid w:val="009D71B3"/>
    <w:rsid w:val="009E5092"/>
    <w:rsid w:val="00A10679"/>
    <w:rsid w:val="00A12B0C"/>
    <w:rsid w:val="00A12C80"/>
    <w:rsid w:val="00A13A3F"/>
    <w:rsid w:val="00A240A6"/>
    <w:rsid w:val="00A31B8F"/>
    <w:rsid w:val="00A3229E"/>
    <w:rsid w:val="00A50622"/>
    <w:rsid w:val="00A519E7"/>
    <w:rsid w:val="00A51A96"/>
    <w:rsid w:val="00A5609E"/>
    <w:rsid w:val="00A715DD"/>
    <w:rsid w:val="00A81F92"/>
    <w:rsid w:val="00A841F4"/>
    <w:rsid w:val="00A90F74"/>
    <w:rsid w:val="00AA495D"/>
    <w:rsid w:val="00AA75FC"/>
    <w:rsid w:val="00AA7E13"/>
    <w:rsid w:val="00AB2183"/>
    <w:rsid w:val="00AB4A96"/>
    <w:rsid w:val="00AD0738"/>
    <w:rsid w:val="00AE24ED"/>
    <w:rsid w:val="00AF642D"/>
    <w:rsid w:val="00AF77F2"/>
    <w:rsid w:val="00B02CC5"/>
    <w:rsid w:val="00B02E9C"/>
    <w:rsid w:val="00B05AA0"/>
    <w:rsid w:val="00B05AD1"/>
    <w:rsid w:val="00B12F9C"/>
    <w:rsid w:val="00B143F4"/>
    <w:rsid w:val="00B21A11"/>
    <w:rsid w:val="00B2276F"/>
    <w:rsid w:val="00B24CB2"/>
    <w:rsid w:val="00B253DF"/>
    <w:rsid w:val="00B30FAF"/>
    <w:rsid w:val="00B31FF8"/>
    <w:rsid w:val="00B332C5"/>
    <w:rsid w:val="00B35D0F"/>
    <w:rsid w:val="00B35DD3"/>
    <w:rsid w:val="00B47148"/>
    <w:rsid w:val="00B65A85"/>
    <w:rsid w:val="00B66B8D"/>
    <w:rsid w:val="00B8205D"/>
    <w:rsid w:val="00B821A0"/>
    <w:rsid w:val="00B8239F"/>
    <w:rsid w:val="00B928BC"/>
    <w:rsid w:val="00B93D94"/>
    <w:rsid w:val="00BA106C"/>
    <w:rsid w:val="00BB0E39"/>
    <w:rsid w:val="00BC48D5"/>
    <w:rsid w:val="00BD066D"/>
    <w:rsid w:val="00BE1758"/>
    <w:rsid w:val="00BE68D1"/>
    <w:rsid w:val="00BF3922"/>
    <w:rsid w:val="00BF6708"/>
    <w:rsid w:val="00C030F3"/>
    <w:rsid w:val="00C07173"/>
    <w:rsid w:val="00C16071"/>
    <w:rsid w:val="00C23A4B"/>
    <w:rsid w:val="00C30360"/>
    <w:rsid w:val="00C40245"/>
    <w:rsid w:val="00C40D21"/>
    <w:rsid w:val="00C47AFD"/>
    <w:rsid w:val="00C8408E"/>
    <w:rsid w:val="00C85B55"/>
    <w:rsid w:val="00C85E22"/>
    <w:rsid w:val="00C87E1B"/>
    <w:rsid w:val="00C90C1B"/>
    <w:rsid w:val="00C96282"/>
    <w:rsid w:val="00C96789"/>
    <w:rsid w:val="00CA4418"/>
    <w:rsid w:val="00CA4CA6"/>
    <w:rsid w:val="00CA6BCE"/>
    <w:rsid w:val="00CA75C7"/>
    <w:rsid w:val="00CB4FF6"/>
    <w:rsid w:val="00CC1E01"/>
    <w:rsid w:val="00CD179E"/>
    <w:rsid w:val="00CD2D4F"/>
    <w:rsid w:val="00CD325D"/>
    <w:rsid w:val="00CD4193"/>
    <w:rsid w:val="00CE032C"/>
    <w:rsid w:val="00CE13B9"/>
    <w:rsid w:val="00CF4860"/>
    <w:rsid w:val="00D16E99"/>
    <w:rsid w:val="00D21EF7"/>
    <w:rsid w:val="00D21F89"/>
    <w:rsid w:val="00D379D0"/>
    <w:rsid w:val="00D444F2"/>
    <w:rsid w:val="00D51169"/>
    <w:rsid w:val="00D5135F"/>
    <w:rsid w:val="00D61553"/>
    <w:rsid w:val="00D72BF2"/>
    <w:rsid w:val="00D833E2"/>
    <w:rsid w:val="00D842FF"/>
    <w:rsid w:val="00D956AE"/>
    <w:rsid w:val="00DA0221"/>
    <w:rsid w:val="00DA04B7"/>
    <w:rsid w:val="00DB0167"/>
    <w:rsid w:val="00DB3C51"/>
    <w:rsid w:val="00DC1564"/>
    <w:rsid w:val="00DC1DD9"/>
    <w:rsid w:val="00DC505C"/>
    <w:rsid w:val="00DE632E"/>
    <w:rsid w:val="00DF325B"/>
    <w:rsid w:val="00E01C5C"/>
    <w:rsid w:val="00E12117"/>
    <w:rsid w:val="00E21BBF"/>
    <w:rsid w:val="00E24FBA"/>
    <w:rsid w:val="00E251FF"/>
    <w:rsid w:val="00E33018"/>
    <w:rsid w:val="00E33F27"/>
    <w:rsid w:val="00E37D92"/>
    <w:rsid w:val="00E43CF0"/>
    <w:rsid w:val="00E450CF"/>
    <w:rsid w:val="00E47414"/>
    <w:rsid w:val="00E560B6"/>
    <w:rsid w:val="00E63F82"/>
    <w:rsid w:val="00E67904"/>
    <w:rsid w:val="00E86B02"/>
    <w:rsid w:val="00E86B64"/>
    <w:rsid w:val="00EA6713"/>
    <w:rsid w:val="00EC399E"/>
    <w:rsid w:val="00EC3DAB"/>
    <w:rsid w:val="00EC7152"/>
    <w:rsid w:val="00ED1F77"/>
    <w:rsid w:val="00ED70B2"/>
    <w:rsid w:val="00EE2CB8"/>
    <w:rsid w:val="00EE3A7D"/>
    <w:rsid w:val="00EE50E2"/>
    <w:rsid w:val="00F03E8B"/>
    <w:rsid w:val="00F126C3"/>
    <w:rsid w:val="00F21DB5"/>
    <w:rsid w:val="00F23F44"/>
    <w:rsid w:val="00F30170"/>
    <w:rsid w:val="00F30DB1"/>
    <w:rsid w:val="00F33BE6"/>
    <w:rsid w:val="00F35599"/>
    <w:rsid w:val="00F35612"/>
    <w:rsid w:val="00F3759B"/>
    <w:rsid w:val="00F42A2D"/>
    <w:rsid w:val="00F431FE"/>
    <w:rsid w:val="00F60F5F"/>
    <w:rsid w:val="00F634D6"/>
    <w:rsid w:val="00F65CB3"/>
    <w:rsid w:val="00F70106"/>
    <w:rsid w:val="00F75096"/>
    <w:rsid w:val="00F87407"/>
    <w:rsid w:val="00F87DBB"/>
    <w:rsid w:val="00F9623A"/>
    <w:rsid w:val="00FA33D2"/>
    <w:rsid w:val="00FA455B"/>
    <w:rsid w:val="00FB6473"/>
    <w:rsid w:val="00FD0704"/>
    <w:rsid w:val="00FD39BA"/>
    <w:rsid w:val="00FE585B"/>
    <w:rsid w:val="00FF3F32"/>
    <w:rsid w:val="00FF5474"/>
    <w:rsid w:val="00FF6680"/>
    <w:rsid w:val="00FF6C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pPr>
        <w:spacing w:after="130" w:line="320" w:lineRule="atLeast"/>
        <w:ind w:left="720" w:hanging="432"/>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able of figures" w:uiPriority="99"/>
    <w:lsdException w:name="annotation reference" w:uiPriority="99"/>
    <w:lsdException w:name="Title" w:uiPriority="10" w:qFormat="1"/>
    <w:lsdException w:name="Default Paragraph Font" w:uiPriority="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0886"/>
    <w:pPr>
      <w:spacing w:after="280"/>
      <w:ind w:left="0" w:firstLine="0"/>
    </w:pPr>
    <w:rPr>
      <w:rFonts w:ascii="Times New Roman" w:hAnsi="Times New Roman"/>
      <w:sz w:val="24"/>
      <w:szCs w:val="24"/>
    </w:rPr>
  </w:style>
  <w:style w:type="paragraph" w:styleId="Heading1">
    <w:name w:val="heading 1"/>
    <w:basedOn w:val="Normal"/>
    <w:next w:val="Normal"/>
    <w:qFormat/>
    <w:rsid w:val="00DE632E"/>
    <w:pPr>
      <w:keepNext/>
      <w:numPr>
        <w:numId w:val="4"/>
      </w:numPr>
      <w:pBdr>
        <w:bottom w:val="single" w:sz="12" w:space="26" w:color="auto"/>
      </w:pBdr>
      <w:spacing w:after="240"/>
      <w:jc w:val="left"/>
      <w:outlineLvl w:val="0"/>
    </w:pPr>
    <w:rPr>
      <w:rFonts w:ascii="Arial" w:hAnsi="Arial" w:cs="Arial"/>
      <w:b/>
      <w:bCs/>
      <w:sz w:val="36"/>
      <w:szCs w:val="36"/>
    </w:rPr>
  </w:style>
  <w:style w:type="paragraph" w:styleId="Heading2">
    <w:name w:val="heading 2"/>
    <w:basedOn w:val="Normal"/>
    <w:next w:val="Normal"/>
    <w:qFormat/>
    <w:rsid w:val="00DE632E"/>
    <w:pPr>
      <w:keepNext/>
      <w:numPr>
        <w:ilvl w:val="1"/>
        <w:numId w:val="4"/>
      </w:numPr>
      <w:spacing w:before="480" w:after="180"/>
      <w:jc w:val="left"/>
      <w:outlineLvl w:val="1"/>
    </w:pPr>
    <w:rPr>
      <w:rFonts w:ascii="Arial" w:hAnsi="Arial" w:cs="Arial"/>
      <w:b/>
      <w:bCs/>
      <w:sz w:val="28"/>
      <w:szCs w:val="28"/>
    </w:rPr>
  </w:style>
  <w:style w:type="paragraph" w:styleId="Heading3">
    <w:name w:val="heading 3"/>
    <w:basedOn w:val="Normal"/>
    <w:next w:val="Normal"/>
    <w:autoRedefine/>
    <w:qFormat/>
    <w:rsid w:val="00DE632E"/>
    <w:pPr>
      <w:keepNext/>
      <w:numPr>
        <w:ilvl w:val="2"/>
        <w:numId w:val="4"/>
      </w:numPr>
      <w:spacing w:after="180" w:line="240" w:lineRule="auto"/>
      <w:jc w:val="left"/>
      <w:outlineLvl w:val="2"/>
    </w:pPr>
    <w:rPr>
      <w:rFonts w:ascii="Arial" w:hAnsi="Arial" w:cs="Arial"/>
      <w:b/>
      <w:bCs/>
      <w:i/>
      <w:iCs/>
    </w:rPr>
  </w:style>
  <w:style w:type="paragraph" w:styleId="Heading4">
    <w:name w:val="heading 4"/>
    <w:basedOn w:val="Normal"/>
    <w:next w:val="Normal"/>
    <w:qFormat/>
    <w:rsid w:val="00DE632E"/>
    <w:pPr>
      <w:keepNext/>
      <w:keepLines/>
      <w:numPr>
        <w:ilvl w:val="3"/>
        <w:numId w:val="4"/>
      </w:numPr>
      <w:spacing w:after="180"/>
      <w:jc w:val="left"/>
      <w:outlineLvl w:val="3"/>
    </w:pPr>
    <w:rPr>
      <w:b/>
      <w:i/>
      <w:iCs/>
      <w:u w:val="single"/>
    </w:rPr>
  </w:style>
  <w:style w:type="paragraph" w:styleId="Heading5">
    <w:name w:val="heading 5"/>
    <w:basedOn w:val="Normal"/>
    <w:next w:val="Normal"/>
    <w:qFormat/>
    <w:rsid w:val="00DE632E"/>
    <w:pPr>
      <w:keepNext/>
      <w:keepLines/>
      <w:numPr>
        <w:ilvl w:val="4"/>
        <w:numId w:val="4"/>
      </w:numPr>
      <w:outlineLvl w:val="4"/>
    </w:pPr>
    <w:rPr>
      <w:rFonts w:cs="Arial"/>
      <w:bCs/>
      <w:i/>
      <w:u w:val="single"/>
    </w:rPr>
  </w:style>
  <w:style w:type="paragraph" w:styleId="Heading6">
    <w:name w:val="heading 6"/>
    <w:basedOn w:val="Heading1"/>
    <w:next w:val="Normal"/>
    <w:qFormat/>
    <w:rsid w:val="00D842FF"/>
    <w:pPr>
      <w:numPr>
        <w:ilvl w:val="5"/>
      </w:numPr>
      <w:pBdr>
        <w:bottom w:val="none" w:sz="0" w:space="0" w:color="auto"/>
      </w:pBdr>
      <w:tabs>
        <w:tab w:val="left" w:pos="2880"/>
      </w:tabs>
      <w:spacing w:after="120"/>
      <w:outlineLvl w:val="5"/>
    </w:pPr>
    <w:rPr>
      <w:rFonts w:ascii="Times New Roman" w:hAnsi="Times New Roman"/>
      <w:sz w:val="24"/>
      <w:szCs w:val="24"/>
    </w:rPr>
  </w:style>
  <w:style w:type="paragraph" w:styleId="Heading7">
    <w:name w:val="heading 7"/>
    <w:basedOn w:val="Heading1"/>
    <w:next w:val="Normal"/>
    <w:qFormat/>
    <w:rsid w:val="00D842FF"/>
    <w:pPr>
      <w:numPr>
        <w:ilvl w:val="6"/>
      </w:numPr>
      <w:tabs>
        <w:tab w:val="left" w:pos="3456"/>
      </w:tabs>
      <w:outlineLvl w:val="6"/>
    </w:pPr>
  </w:style>
  <w:style w:type="paragraph" w:styleId="Heading8">
    <w:name w:val="heading 8"/>
    <w:basedOn w:val="Normal"/>
    <w:next w:val="Normal"/>
    <w:qFormat/>
    <w:rsid w:val="00DE632E"/>
    <w:pPr>
      <w:numPr>
        <w:ilvl w:val="7"/>
        <w:numId w:val="4"/>
      </w:numPr>
      <w:outlineLvl w:val="7"/>
    </w:pPr>
    <w:rPr>
      <w:rFonts w:ascii="Tms Rmn" w:hAnsi="Tms Rmn"/>
      <w:i/>
      <w:iCs/>
      <w:sz w:val="20"/>
      <w:szCs w:val="20"/>
    </w:rPr>
  </w:style>
  <w:style w:type="paragraph" w:styleId="Heading9">
    <w:name w:val="heading 9"/>
    <w:basedOn w:val="Normal"/>
    <w:next w:val="Normal"/>
    <w:qFormat/>
    <w:rsid w:val="00DE632E"/>
    <w:pPr>
      <w:numPr>
        <w:ilvl w:val="8"/>
        <w:numId w:val="4"/>
      </w:numPr>
      <w:outlineLvl w:val="8"/>
    </w:pPr>
    <w:rPr>
      <w:rFonts w:ascii="Tms Rmn" w:hAnsi="Tms Rm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J">
    <w:name w:val="pJ"/>
    <w:next w:val="Normal"/>
    <w:rsid w:val="00D842FF"/>
    <w:rPr>
      <w:rFonts w:ascii="Times New Roman" w:hAnsi="Times New Roman"/>
      <w:sz w:val="24"/>
      <w:szCs w:val="24"/>
    </w:rPr>
  </w:style>
  <w:style w:type="paragraph" w:customStyle="1" w:styleId="pB">
    <w:name w:val="pB"/>
    <w:basedOn w:val="Normal"/>
    <w:rsid w:val="0011319A"/>
    <w:pPr>
      <w:tabs>
        <w:tab w:val="left" w:pos="720"/>
        <w:tab w:val="left" w:pos="1080"/>
      </w:tabs>
      <w:ind w:right="288"/>
    </w:pPr>
  </w:style>
  <w:style w:type="paragraph" w:customStyle="1" w:styleId="pF">
    <w:name w:val="pF"/>
    <w:rsid w:val="0011319A"/>
    <w:rPr>
      <w:rFonts w:ascii="Times New Roman" w:hAnsi="Times New Roman"/>
      <w:sz w:val="24"/>
      <w:szCs w:val="24"/>
    </w:rPr>
  </w:style>
  <w:style w:type="paragraph" w:customStyle="1" w:styleId="pS">
    <w:name w:val="pS"/>
    <w:rsid w:val="00D842FF"/>
    <w:pPr>
      <w:tabs>
        <w:tab w:val="left" w:pos="720"/>
        <w:tab w:val="left" w:pos="1080"/>
      </w:tabs>
      <w:ind w:right="288"/>
    </w:pPr>
    <w:rPr>
      <w:rFonts w:ascii="Times New Roman" w:hAnsi="Times New Roman"/>
      <w:sz w:val="24"/>
      <w:szCs w:val="24"/>
    </w:rPr>
  </w:style>
  <w:style w:type="paragraph" w:customStyle="1" w:styleId="pD">
    <w:name w:val="pD"/>
    <w:basedOn w:val="pF"/>
    <w:rsid w:val="00D842FF"/>
    <w:pPr>
      <w:tabs>
        <w:tab w:val="left" w:pos="1152"/>
      </w:tabs>
      <w:spacing w:before="60" w:line="280" w:lineRule="atLeast"/>
      <w:ind w:left="1152" w:right="288"/>
    </w:pPr>
  </w:style>
  <w:style w:type="paragraph" w:customStyle="1" w:styleId="pE">
    <w:name w:val="pE"/>
    <w:basedOn w:val="pD"/>
    <w:rsid w:val="00D842FF"/>
    <w:pPr>
      <w:tabs>
        <w:tab w:val="clear" w:pos="1152"/>
      </w:tabs>
      <w:spacing w:line="240" w:lineRule="atLeast"/>
      <w:ind w:left="1440" w:hanging="288"/>
    </w:pPr>
  </w:style>
  <w:style w:type="paragraph" w:styleId="Header">
    <w:name w:val="header"/>
    <w:basedOn w:val="pF"/>
    <w:rsid w:val="009D0319"/>
    <w:pPr>
      <w:pBdr>
        <w:bottom w:val="single" w:sz="12" w:space="1" w:color="auto"/>
      </w:pBdr>
      <w:tabs>
        <w:tab w:val="right" w:pos="9000"/>
      </w:tabs>
      <w:spacing w:after="0"/>
      <w:ind w:left="0" w:firstLine="0"/>
      <w:jc w:val="center"/>
    </w:pPr>
    <w:rPr>
      <w:rFonts w:ascii="Tms Rmn" w:hAnsi="Tms Rmn"/>
      <w:i/>
      <w:iCs/>
    </w:rPr>
  </w:style>
  <w:style w:type="paragraph" w:styleId="Footer">
    <w:name w:val="footer"/>
    <w:basedOn w:val="Header"/>
    <w:rsid w:val="0047130C"/>
    <w:pPr>
      <w:pBdr>
        <w:top w:val="single" w:sz="12" w:space="1" w:color="auto"/>
        <w:bottom w:val="none" w:sz="0" w:space="0" w:color="auto"/>
      </w:pBdr>
      <w:tabs>
        <w:tab w:val="clear" w:pos="9000"/>
        <w:tab w:val="center" w:pos="4680"/>
        <w:tab w:val="right" w:pos="9360"/>
      </w:tabs>
      <w:jc w:val="left"/>
    </w:pPr>
  </w:style>
  <w:style w:type="character" w:styleId="FootnoteReference">
    <w:name w:val="footnote reference"/>
    <w:basedOn w:val="DefaultParagraphFont"/>
    <w:rsid w:val="00D842FF"/>
    <w:rPr>
      <w:position w:val="6"/>
      <w:sz w:val="16"/>
      <w:szCs w:val="16"/>
    </w:rPr>
  </w:style>
  <w:style w:type="paragraph" w:styleId="FootnoteText">
    <w:name w:val="footnote text"/>
    <w:basedOn w:val="Normal"/>
    <w:link w:val="FootnoteTextChar"/>
    <w:autoRedefine/>
    <w:rsid w:val="00312DEB"/>
    <w:pPr>
      <w:spacing w:after="0" w:line="240" w:lineRule="auto"/>
      <w:ind w:left="270" w:hanging="270"/>
      <w:jc w:val="left"/>
    </w:pPr>
    <w:rPr>
      <w:rFonts w:ascii="Tms Rmn" w:hAnsi="Tms Rmn"/>
      <w:sz w:val="20"/>
      <w:szCs w:val="20"/>
    </w:rPr>
  </w:style>
  <w:style w:type="paragraph" w:styleId="Index1">
    <w:name w:val="index 1"/>
    <w:basedOn w:val="Normal"/>
    <w:next w:val="Normal"/>
    <w:rsid w:val="00D842FF"/>
    <w:rPr>
      <w:rFonts w:ascii="Tms Rmn" w:hAnsi="Tms Rmn"/>
    </w:rPr>
  </w:style>
  <w:style w:type="paragraph" w:styleId="Index2">
    <w:name w:val="index 2"/>
    <w:basedOn w:val="Normal"/>
    <w:next w:val="Normal"/>
    <w:rsid w:val="00D842FF"/>
    <w:pPr>
      <w:ind w:left="360"/>
    </w:pPr>
    <w:rPr>
      <w:rFonts w:ascii="Tms Rmn" w:hAnsi="Tms Rmn"/>
    </w:rPr>
  </w:style>
  <w:style w:type="paragraph" w:styleId="Index3">
    <w:name w:val="index 3"/>
    <w:basedOn w:val="Normal"/>
    <w:next w:val="Normal"/>
    <w:rsid w:val="00D842FF"/>
    <w:rPr>
      <w:rFonts w:ascii="Tms Rmn" w:hAnsi="Tms Rmn"/>
    </w:rPr>
  </w:style>
  <w:style w:type="paragraph" w:styleId="Index4">
    <w:name w:val="index 4"/>
    <w:basedOn w:val="Normal"/>
    <w:next w:val="Normal"/>
    <w:rsid w:val="00D842FF"/>
    <w:rPr>
      <w:rFonts w:ascii="Tms Rmn" w:hAnsi="Tms Rmn"/>
    </w:rPr>
  </w:style>
  <w:style w:type="paragraph" w:styleId="Index5">
    <w:name w:val="index 5"/>
    <w:basedOn w:val="Normal"/>
    <w:next w:val="Normal"/>
    <w:rsid w:val="00D842FF"/>
    <w:pPr>
      <w:ind w:left="1440"/>
    </w:pPr>
    <w:rPr>
      <w:rFonts w:ascii="Tms Rmn" w:hAnsi="Tms Rmn"/>
    </w:rPr>
  </w:style>
  <w:style w:type="paragraph" w:styleId="Index6">
    <w:name w:val="index 6"/>
    <w:basedOn w:val="Normal"/>
    <w:next w:val="Normal"/>
    <w:rsid w:val="00D842FF"/>
    <w:pPr>
      <w:ind w:left="1800"/>
    </w:pPr>
    <w:rPr>
      <w:rFonts w:ascii="Tms Rmn" w:hAnsi="Tms Rmn"/>
    </w:rPr>
  </w:style>
  <w:style w:type="paragraph" w:styleId="Index7">
    <w:name w:val="index 7"/>
    <w:basedOn w:val="Normal"/>
    <w:next w:val="Normal"/>
    <w:rsid w:val="00D842FF"/>
    <w:pPr>
      <w:ind w:left="2160"/>
    </w:pPr>
    <w:rPr>
      <w:rFonts w:ascii="Tms Rmn" w:hAnsi="Tms Rmn"/>
    </w:rPr>
  </w:style>
  <w:style w:type="paragraph" w:styleId="IndexHeading">
    <w:name w:val="index heading"/>
    <w:basedOn w:val="Normal"/>
    <w:next w:val="Index1"/>
    <w:rsid w:val="00D842FF"/>
    <w:rPr>
      <w:rFonts w:ascii="Tms Rmn" w:hAnsi="Tms Rmn"/>
    </w:rPr>
  </w:style>
  <w:style w:type="character" w:styleId="LineNumber">
    <w:name w:val="line number"/>
    <w:basedOn w:val="DefaultParagraphFont"/>
    <w:rsid w:val="00D842FF"/>
  </w:style>
  <w:style w:type="paragraph" w:customStyle="1" w:styleId="pA">
    <w:name w:val="pA"/>
    <w:rsid w:val="0011319A"/>
    <w:pPr>
      <w:spacing w:line="130" w:lineRule="exact"/>
    </w:pPr>
    <w:rPr>
      <w:rFonts w:ascii="Times New Roman" w:hAnsi="Times New Roman"/>
      <w:sz w:val="24"/>
      <w:szCs w:val="24"/>
    </w:rPr>
  </w:style>
  <w:style w:type="paragraph" w:customStyle="1" w:styleId="pG">
    <w:name w:val="pG"/>
    <w:basedOn w:val="Normal"/>
    <w:rsid w:val="008E2E63"/>
    <w:pPr>
      <w:keepNext/>
      <w:spacing w:after="130"/>
      <w:ind w:left="720" w:hanging="432"/>
    </w:pPr>
    <w:rPr>
      <w:rFonts w:ascii="Arial" w:hAnsi="Arial" w:cs="Arial"/>
      <w:b/>
      <w:bCs/>
    </w:rPr>
  </w:style>
  <w:style w:type="paragraph" w:customStyle="1" w:styleId="pT">
    <w:name w:val="pT"/>
    <w:basedOn w:val="Normal"/>
    <w:rsid w:val="008E2E63"/>
    <w:pPr>
      <w:keepNext/>
      <w:spacing w:after="130"/>
      <w:ind w:left="720" w:hanging="432"/>
    </w:pPr>
    <w:rPr>
      <w:rFonts w:ascii="Arial" w:hAnsi="Arial" w:cs="Arial"/>
      <w:b/>
      <w:bCs/>
    </w:rPr>
  </w:style>
  <w:style w:type="paragraph" w:customStyle="1" w:styleId="pX">
    <w:name w:val="pX"/>
    <w:basedOn w:val="pF"/>
    <w:rsid w:val="00D842FF"/>
    <w:pPr>
      <w:spacing w:line="240" w:lineRule="atLeast"/>
    </w:pPr>
  </w:style>
  <w:style w:type="paragraph" w:customStyle="1" w:styleId="TitlePage">
    <w:name w:val="Title Page"/>
    <w:basedOn w:val="Normal"/>
    <w:rsid w:val="008E2E63"/>
    <w:pPr>
      <w:spacing w:after="130"/>
      <w:ind w:left="1440" w:right="1440" w:hanging="432"/>
      <w:jc w:val="center"/>
    </w:pPr>
    <w:rPr>
      <w:rFonts w:ascii="Arial" w:hAnsi="Arial" w:cs="Arial"/>
      <w:b/>
      <w:bCs/>
      <w:sz w:val="36"/>
      <w:szCs w:val="36"/>
    </w:rPr>
  </w:style>
  <w:style w:type="paragraph" w:styleId="TOC1">
    <w:name w:val="toc 1"/>
    <w:basedOn w:val="pF"/>
    <w:next w:val="Normal"/>
    <w:uiPriority w:val="39"/>
    <w:rsid w:val="00E37D92"/>
    <w:pPr>
      <w:tabs>
        <w:tab w:val="right" w:leader="dot" w:pos="9000"/>
      </w:tabs>
      <w:spacing w:before="120" w:line="240" w:lineRule="auto"/>
      <w:ind w:left="0" w:right="360" w:firstLine="0"/>
    </w:pPr>
    <w:rPr>
      <w:rFonts w:ascii="Arial" w:hAnsi="Arial" w:cs="Arial"/>
      <w:b/>
      <w:bCs/>
    </w:rPr>
  </w:style>
  <w:style w:type="paragraph" w:styleId="TOC2">
    <w:name w:val="toc 2"/>
    <w:basedOn w:val="TOC1"/>
    <w:next w:val="Normal"/>
    <w:uiPriority w:val="39"/>
    <w:rsid w:val="00E37D92"/>
    <w:pPr>
      <w:spacing w:before="0" w:after="0"/>
      <w:ind w:left="864" w:right="720" w:hanging="432"/>
    </w:pPr>
    <w:rPr>
      <w:b w:val="0"/>
      <w:bCs w:val="0"/>
    </w:rPr>
  </w:style>
  <w:style w:type="paragraph" w:styleId="TOC3">
    <w:name w:val="toc 3"/>
    <w:basedOn w:val="TOC1"/>
    <w:uiPriority w:val="39"/>
    <w:rsid w:val="00E37D92"/>
    <w:pPr>
      <w:spacing w:before="0" w:after="0"/>
      <w:ind w:left="1296" w:right="720" w:hanging="432"/>
    </w:pPr>
    <w:rPr>
      <w:b w:val="0"/>
      <w:bCs w:val="0"/>
      <w:i/>
      <w:iCs/>
      <w:sz w:val="20"/>
      <w:szCs w:val="20"/>
    </w:rPr>
  </w:style>
  <w:style w:type="paragraph" w:styleId="TOC4">
    <w:name w:val="toc 4"/>
    <w:basedOn w:val="TOC1"/>
    <w:rsid w:val="00D842FF"/>
    <w:pPr>
      <w:spacing w:before="0" w:after="0"/>
    </w:pPr>
    <w:rPr>
      <w:rFonts w:cs="Times New Roman"/>
      <w:b w:val="0"/>
      <w:bCs w:val="0"/>
      <w:sz w:val="20"/>
      <w:szCs w:val="20"/>
    </w:rPr>
  </w:style>
  <w:style w:type="paragraph" w:styleId="TOC5">
    <w:name w:val="toc 5"/>
    <w:basedOn w:val="TOC4"/>
    <w:next w:val="Normal"/>
    <w:rsid w:val="00D842FF"/>
  </w:style>
  <w:style w:type="paragraph" w:styleId="EnvelopeAddress">
    <w:name w:val="envelope address"/>
    <w:basedOn w:val="Normal"/>
    <w:rsid w:val="00D842FF"/>
    <w:pPr>
      <w:framePr w:w="7920" w:h="1980" w:hRule="exact" w:hSpace="180" w:wrap="auto" w:hAnchor="page" w:xAlign="center" w:yAlign="bottom"/>
      <w:ind w:left="2880"/>
    </w:pPr>
    <w:rPr>
      <w:rFonts w:ascii="Arial Narrow" w:hAnsi="Arial Narrow"/>
      <w:smallCaps/>
    </w:rPr>
  </w:style>
  <w:style w:type="paragraph" w:customStyle="1" w:styleId="Large">
    <w:name w:val="Large"/>
    <w:basedOn w:val="pF"/>
    <w:next w:val="pF"/>
    <w:rsid w:val="00D842FF"/>
    <w:pPr>
      <w:keepNext/>
      <w:spacing w:before="480" w:after="360" w:line="720" w:lineRule="exact"/>
    </w:pPr>
    <w:rPr>
      <w:rFonts w:ascii="Arial" w:hAnsi="Arial" w:cs="Arial"/>
      <w:b/>
      <w:bCs/>
      <w:i/>
      <w:iCs/>
      <w:sz w:val="72"/>
      <w:szCs w:val="72"/>
    </w:rPr>
  </w:style>
  <w:style w:type="paragraph" w:styleId="ListBullet">
    <w:name w:val="List Bullet"/>
    <w:basedOn w:val="Normal"/>
    <w:rsid w:val="00D842FF"/>
    <w:pPr>
      <w:ind w:left="360"/>
    </w:pPr>
  </w:style>
  <w:style w:type="paragraph" w:customStyle="1" w:styleId="pA2">
    <w:name w:val="pA2"/>
    <w:basedOn w:val="pA"/>
    <w:next w:val="pA"/>
    <w:rsid w:val="0011319A"/>
  </w:style>
  <w:style w:type="paragraph" w:styleId="Caption">
    <w:name w:val="caption"/>
    <w:basedOn w:val="Normal"/>
    <w:next w:val="Normal"/>
    <w:autoRedefine/>
    <w:qFormat/>
    <w:rsid w:val="007A71F8"/>
    <w:pPr>
      <w:keepNext/>
      <w:spacing w:before="240" w:after="120" w:line="240" w:lineRule="auto"/>
      <w:jc w:val="left"/>
    </w:pPr>
    <w:rPr>
      <w:rFonts w:ascii="Arial" w:hAnsi="Arial" w:cs="Arial"/>
      <w:b/>
      <w:bCs/>
      <w:sz w:val="22"/>
    </w:rPr>
  </w:style>
  <w:style w:type="paragraph" w:customStyle="1" w:styleId="resumeparagraph">
    <w:name w:val="resume paragraph"/>
    <w:rsid w:val="00D842FF"/>
    <w:pPr>
      <w:spacing w:before="100" w:line="240" w:lineRule="exact"/>
      <w:ind w:hanging="288"/>
    </w:pPr>
    <w:rPr>
      <w:rFonts w:ascii="Times New Roman" w:hAnsi="Times New Roman"/>
      <w:sz w:val="24"/>
      <w:szCs w:val="24"/>
    </w:rPr>
  </w:style>
  <w:style w:type="paragraph" w:customStyle="1" w:styleId="Headline">
    <w:name w:val="Headline"/>
    <w:basedOn w:val="Normal"/>
    <w:rsid w:val="00D842FF"/>
    <w:pPr>
      <w:spacing w:line="240" w:lineRule="auto"/>
    </w:pPr>
    <w:rPr>
      <w:b/>
      <w:bCs/>
      <w:sz w:val="36"/>
      <w:szCs w:val="36"/>
    </w:rPr>
  </w:style>
  <w:style w:type="paragraph" w:customStyle="1" w:styleId="projtitle">
    <w:name w:val="projtitle"/>
    <w:basedOn w:val="Normal"/>
    <w:next w:val="For"/>
    <w:rsid w:val="00D842FF"/>
    <w:pPr>
      <w:keepNext/>
      <w:keepLines/>
      <w:tabs>
        <w:tab w:val="left" w:pos="720"/>
        <w:tab w:val="left" w:pos="1080"/>
      </w:tabs>
      <w:spacing w:line="280" w:lineRule="exact"/>
      <w:ind w:left="288" w:right="288"/>
    </w:pPr>
    <w:rPr>
      <w:b/>
      <w:bCs/>
      <w:i/>
      <w:iCs/>
    </w:rPr>
  </w:style>
  <w:style w:type="paragraph" w:customStyle="1" w:styleId="summary">
    <w:name w:val="summary"/>
    <w:basedOn w:val="pB"/>
    <w:next w:val="projtitle"/>
    <w:rsid w:val="00D842FF"/>
    <w:pPr>
      <w:tabs>
        <w:tab w:val="clear" w:pos="720"/>
        <w:tab w:val="clear" w:pos="1080"/>
        <w:tab w:val="left" w:pos="-1170"/>
      </w:tabs>
      <w:spacing w:after="240"/>
    </w:pPr>
  </w:style>
  <w:style w:type="paragraph" w:customStyle="1" w:styleId="For">
    <w:name w:val="For"/>
    <w:basedOn w:val="Normal"/>
    <w:next w:val="Contact"/>
    <w:rsid w:val="00D842FF"/>
    <w:pPr>
      <w:keepNext/>
      <w:keepLines/>
      <w:tabs>
        <w:tab w:val="left" w:pos="720"/>
        <w:tab w:val="left" w:pos="1080"/>
      </w:tabs>
      <w:spacing w:line="280" w:lineRule="exact"/>
      <w:ind w:left="1152" w:right="288"/>
    </w:pPr>
  </w:style>
  <w:style w:type="paragraph" w:customStyle="1" w:styleId="Contact">
    <w:name w:val="Contact"/>
    <w:basedOn w:val="Normal"/>
    <w:next w:val="summary"/>
    <w:rsid w:val="00D842FF"/>
    <w:pPr>
      <w:keepNext/>
      <w:keepLines/>
      <w:tabs>
        <w:tab w:val="left" w:pos="720"/>
        <w:tab w:val="left" w:pos="1080"/>
      </w:tabs>
      <w:spacing w:line="280" w:lineRule="exact"/>
      <w:ind w:left="1152" w:right="288"/>
    </w:pPr>
  </w:style>
  <w:style w:type="paragraph" w:customStyle="1" w:styleId="question">
    <w:name w:val="question"/>
    <w:basedOn w:val="pF"/>
    <w:rsid w:val="00D842FF"/>
    <w:pPr>
      <w:ind w:hanging="720"/>
    </w:pPr>
  </w:style>
  <w:style w:type="paragraph" w:styleId="TOC6">
    <w:name w:val="toc 6"/>
    <w:basedOn w:val="Normal"/>
    <w:next w:val="Normal"/>
    <w:rsid w:val="00D842FF"/>
    <w:pPr>
      <w:tabs>
        <w:tab w:val="right" w:leader="dot" w:pos="9000"/>
      </w:tabs>
      <w:spacing w:line="240" w:lineRule="auto"/>
      <w:ind w:left="1200"/>
    </w:pPr>
  </w:style>
  <w:style w:type="paragraph" w:customStyle="1" w:styleId="Variabledefinition">
    <w:name w:val="Variable definition"/>
    <w:basedOn w:val="pD"/>
    <w:rsid w:val="00D842FF"/>
    <w:pPr>
      <w:tabs>
        <w:tab w:val="left" w:pos="720"/>
        <w:tab w:val="left" w:pos="1440"/>
        <w:tab w:val="left" w:pos="2160"/>
      </w:tabs>
      <w:ind w:left="2520" w:hanging="1800"/>
    </w:pPr>
    <w:rPr>
      <w:i/>
      <w:iCs/>
    </w:rPr>
  </w:style>
  <w:style w:type="paragraph" w:customStyle="1" w:styleId="tablefootnote">
    <w:name w:val="table footnote"/>
    <w:basedOn w:val="Normal"/>
    <w:link w:val="tablefootnoteChar"/>
    <w:rsid w:val="008E2E63"/>
    <w:pPr>
      <w:keepNext/>
      <w:keepLines/>
      <w:tabs>
        <w:tab w:val="left" w:pos="274"/>
      </w:tabs>
      <w:spacing w:before="60" w:after="0" w:line="240" w:lineRule="auto"/>
      <w:ind w:left="274" w:hanging="274"/>
    </w:pPr>
    <w:rPr>
      <w:sz w:val="20"/>
      <w:szCs w:val="20"/>
    </w:rPr>
  </w:style>
  <w:style w:type="paragraph" w:styleId="TableofFigures">
    <w:name w:val="table of figures"/>
    <w:basedOn w:val="Normal"/>
    <w:next w:val="Normal"/>
    <w:uiPriority w:val="99"/>
    <w:rsid w:val="00F70106"/>
    <w:pPr>
      <w:tabs>
        <w:tab w:val="right" w:leader="dot" w:pos="9000"/>
      </w:tabs>
      <w:spacing w:before="120" w:after="130" w:line="240" w:lineRule="auto"/>
      <w:ind w:left="475" w:right="720" w:hanging="475"/>
    </w:pPr>
    <w:rPr>
      <w:rFonts w:ascii="Arial" w:hAnsi="Arial" w:cs="Arial"/>
    </w:rPr>
  </w:style>
  <w:style w:type="paragraph" w:styleId="BalloonText">
    <w:name w:val="Balloon Text"/>
    <w:basedOn w:val="Normal"/>
    <w:rsid w:val="00D842FF"/>
    <w:rPr>
      <w:rFonts w:ascii="Tahoma" w:hAnsi="Tahoma" w:cs="Tahoma"/>
      <w:sz w:val="16"/>
      <w:szCs w:val="16"/>
    </w:rPr>
  </w:style>
  <w:style w:type="character" w:styleId="CommentReference">
    <w:name w:val="annotation reference"/>
    <w:basedOn w:val="DefaultParagraphFont"/>
    <w:uiPriority w:val="99"/>
    <w:rsid w:val="00D842FF"/>
    <w:rPr>
      <w:sz w:val="16"/>
    </w:rPr>
  </w:style>
  <w:style w:type="paragraph" w:styleId="CommentText">
    <w:name w:val="annotation text"/>
    <w:basedOn w:val="Normal"/>
    <w:link w:val="CommentTextChar"/>
    <w:uiPriority w:val="99"/>
    <w:rsid w:val="00D842FF"/>
    <w:rPr>
      <w:sz w:val="20"/>
      <w:szCs w:val="20"/>
    </w:rPr>
  </w:style>
  <w:style w:type="paragraph" w:styleId="CommentSubject">
    <w:name w:val="annotation subject"/>
    <w:basedOn w:val="CommentText"/>
    <w:next w:val="CommentText"/>
    <w:rsid w:val="00D842FF"/>
    <w:rPr>
      <w:b/>
      <w:bCs/>
    </w:rPr>
  </w:style>
  <w:style w:type="paragraph" w:styleId="DocumentMap">
    <w:name w:val="Document Map"/>
    <w:basedOn w:val="Normal"/>
    <w:rsid w:val="00D842FF"/>
    <w:pPr>
      <w:shd w:val="clear" w:color="auto" w:fill="000080"/>
    </w:pPr>
    <w:rPr>
      <w:rFonts w:ascii="Tahoma" w:hAnsi="Tahoma" w:cs="Tahoma"/>
    </w:rPr>
  </w:style>
  <w:style w:type="character" w:styleId="PageNumber">
    <w:name w:val="page number"/>
    <w:basedOn w:val="DefaultParagraphFont"/>
    <w:rsid w:val="00D842FF"/>
  </w:style>
  <w:style w:type="table" w:styleId="TableGrid">
    <w:name w:val="Table Grid"/>
    <w:basedOn w:val="TableNormal"/>
    <w:uiPriority w:val="59"/>
    <w:rsid w:val="00D842F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TitleSub"/>
    <w:link w:val="TitleChar"/>
    <w:uiPriority w:val="10"/>
    <w:qFormat/>
    <w:rsid w:val="00E251FF"/>
    <w:pPr>
      <w:spacing w:after="0" w:line="240" w:lineRule="auto"/>
      <w:contextualSpacing/>
      <w:jc w:val="right"/>
    </w:pPr>
    <w:rPr>
      <w:rFonts w:ascii="Arial" w:hAnsi="Arial"/>
      <w:b/>
      <w:color w:val="17365D"/>
      <w:spacing w:val="5"/>
      <w:kern w:val="28"/>
      <w:sz w:val="40"/>
      <w:szCs w:val="52"/>
    </w:rPr>
  </w:style>
  <w:style w:type="character" w:styleId="Hyperlink">
    <w:name w:val="Hyperlink"/>
    <w:basedOn w:val="DefaultParagraphFont"/>
    <w:rsid w:val="00D842FF"/>
    <w:rPr>
      <w:color w:val="0000FF"/>
      <w:u w:val="single"/>
    </w:rPr>
  </w:style>
  <w:style w:type="paragraph" w:customStyle="1" w:styleId="CEUSIndent5">
    <w:name w:val="CEUS_Indent5"/>
    <w:basedOn w:val="pE"/>
    <w:rsid w:val="00D842FF"/>
    <w:pPr>
      <w:ind w:left="2070" w:hanging="432"/>
    </w:pPr>
    <w:rPr>
      <w:szCs w:val="20"/>
    </w:rPr>
  </w:style>
  <w:style w:type="paragraph" w:styleId="ListBullet2">
    <w:name w:val="List Bullet 2"/>
    <w:basedOn w:val="Normal"/>
    <w:rsid w:val="00D842FF"/>
    <w:pPr>
      <w:numPr>
        <w:numId w:val="3"/>
      </w:numPr>
      <w:contextualSpacing/>
    </w:pPr>
  </w:style>
  <w:style w:type="numbering" w:customStyle="1" w:styleId="Itron">
    <w:name w:val="Itron"/>
    <w:uiPriority w:val="99"/>
    <w:rsid w:val="008F6F18"/>
    <w:pPr>
      <w:numPr>
        <w:numId w:val="1"/>
      </w:numPr>
    </w:pPr>
  </w:style>
  <w:style w:type="numbering" w:customStyle="1" w:styleId="CnAListBullets">
    <w:name w:val="CnAListBullets"/>
    <w:uiPriority w:val="99"/>
    <w:rsid w:val="00D842FF"/>
    <w:pPr>
      <w:numPr>
        <w:numId w:val="2"/>
      </w:numPr>
    </w:pPr>
  </w:style>
  <w:style w:type="paragraph" w:styleId="ListParagraph">
    <w:name w:val="List Paragraph"/>
    <w:basedOn w:val="Normal"/>
    <w:uiPriority w:val="34"/>
    <w:qFormat/>
    <w:rsid w:val="00D842FF"/>
    <w:pPr>
      <w:spacing w:after="80"/>
    </w:pPr>
  </w:style>
  <w:style w:type="paragraph" w:customStyle="1" w:styleId="CoverTitle">
    <w:name w:val="CoverTitle"/>
    <w:basedOn w:val="Normal"/>
    <w:link w:val="CoverTitleChar"/>
    <w:qFormat/>
    <w:rsid w:val="00D842FF"/>
    <w:pPr>
      <w:spacing w:after="120"/>
      <w:jc w:val="center"/>
    </w:pPr>
    <w:rPr>
      <w:rFonts w:ascii="Arial" w:hAnsi="Arial"/>
      <w:b/>
      <w:sz w:val="40"/>
    </w:rPr>
  </w:style>
  <w:style w:type="character" w:customStyle="1" w:styleId="CoverTitleChar">
    <w:name w:val="CoverTitle Char"/>
    <w:basedOn w:val="DefaultParagraphFont"/>
    <w:link w:val="CoverTitle"/>
    <w:rsid w:val="00D842FF"/>
    <w:rPr>
      <w:rFonts w:ascii="Arial" w:hAnsi="Arial"/>
      <w:b/>
      <w:sz w:val="40"/>
      <w:szCs w:val="24"/>
    </w:rPr>
  </w:style>
  <w:style w:type="paragraph" w:customStyle="1" w:styleId="CoverNormal">
    <w:name w:val="CoverNormal"/>
    <w:basedOn w:val="Normal"/>
    <w:link w:val="CoverNormalChar"/>
    <w:qFormat/>
    <w:rsid w:val="00D842FF"/>
    <w:pPr>
      <w:contextualSpacing/>
      <w:jc w:val="center"/>
    </w:pPr>
    <w:rPr>
      <w:rFonts w:ascii="Arial" w:hAnsi="Arial"/>
    </w:rPr>
  </w:style>
  <w:style w:type="character" w:customStyle="1" w:styleId="CoverNormalChar">
    <w:name w:val="CoverNormal Char"/>
    <w:basedOn w:val="DefaultParagraphFont"/>
    <w:link w:val="CoverNormal"/>
    <w:rsid w:val="00D842FF"/>
    <w:rPr>
      <w:rFonts w:ascii="Arial" w:hAnsi="Arial"/>
      <w:sz w:val="24"/>
      <w:szCs w:val="24"/>
    </w:rPr>
  </w:style>
  <w:style w:type="paragraph" w:customStyle="1" w:styleId="Halfline">
    <w:name w:val="Halfline"/>
    <w:basedOn w:val="Normal"/>
    <w:next w:val="Normal"/>
    <w:link w:val="HalflineChar"/>
    <w:qFormat/>
    <w:rsid w:val="00DE632E"/>
    <w:pPr>
      <w:spacing w:after="130" w:line="130" w:lineRule="exact"/>
      <w:jc w:val="left"/>
    </w:pPr>
  </w:style>
  <w:style w:type="character" w:customStyle="1" w:styleId="HalflineChar">
    <w:name w:val="Halfline Char"/>
    <w:basedOn w:val="DefaultParagraphFont"/>
    <w:link w:val="Halfline"/>
    <w:rsid w:val="00DE632E"/>
    <w:rPr>
      <w:rFonts w:ascii="Times New Roman" w:hAnsi="Times New Roman"/>
      <w:sz w:val="24"/>
      <w:szCs w:val="24"/>
    </w:rPr>
  </w:style>
  <w:style w:type="paragraph" w:customStyle="1" w:styleId="LetterheadParagraph">
    <w:name w:val="Letterhead Paragraph"/>
    <w:basedOn w:val="Normal"/>
    <w:qFormat/>
    <w:rsid w:val="00573DEC"/>
    <w:pPr>
      <w:spacing w:after="0"/>
    </w:pPr>
    <w:rPr>
      <w:rFonts w:ascii="Arial Narrow" w:hAnsi="Arial Narrow"/>
    </w:rPr>
  </w:style>
  <w:style w:type="character" w:customStyle="1" w:styleId="FootnoteTextChar">
    <w:name w:val="Footnote Text Char"/>
    <w:basedOn w:val="DefaultParagraphFont"/>
    <w:link w:val="FootnoteText"/>
    <w:rsid w:val="00312DEB"/>
  </w:style>
  <w:style w:type="character" w:customStyle="1" w:styleId="tablefootnoteChar">
    <w:name w:val="table footnote Char"/>
    <w:basedOn w:val="DefaultParagraphFont"/>
    <w:link w:val="tablefootnote"/>
    <w:rsid w:val="009D0319"/>
    <w:rPr>
      <w:rFonts w:ascii="Times New Roman" w:hAnsi="Times New Roman"/>
    </w:rPr>
  </w:style>
  <w:style w:type="paragraph" w:customStyle="1" w:styleId="TitleSub">
    <w:name w:val="TitleSub"/>
    <w:basedOn w:val="Title"/>
    <w:link w:val="TitleSubChar"/>
    <w:autoRedefine/>
    <w:qFormat/>
    <w:rsid w:val="00682A57"/>
    <w:rPr>
      <w:b w:val="0"/>
      <w:sz w:val="32"/>
    </w:rPr>
  </w:style>
  <w:style w:type="character" w:customStyle="1" w:styleId="TitleSubChar">
    <w:name w:val="TitleSub Char"/>
    <w:basedOn w:val="TitleChar"/>
    <w:link w:val="TitleSub"/>
    <w:rsid w:val="00682A57"/>
    <w:rPr>
      <w:sz w:val="32"/>
    </w:rPr>
  </w:style>
  <w:style w:type="character" w:customStyle="1" w:styleId="TitleChar">
    <w:name w:val="Title Char"/>
    <w:basedOn w:val="DefaultParagraphFont"/>
    <w:link w:val="Title"/>
    <w:uiPriority w:val="10"/>
    <w:rsid w:val="00E251FF"/>
    <w:rPr>
      <w:rFonts w:ascii="Arial" w:hAnsi="Arial"/>
      <w:b/>
      <w:color w:val="17365D"/>
      <w:spacing w:val="5"/>
      <w:kern w:val="28"/>
      <w:sz w:val="40"/>
      <w:szCs w:val="52"/>
    </w:rPr>
  </w:style>
  <w:style w:type="paragraph" w:customStyle="1" w:styleId="TitleAdd">
    <w:name w:val="TitleAdd"/>
    <w:basedOn w:val="Title"/>
    <w:link w:val="TitleAddChar"/>
    <w:autoRedefine/>
    <w:qFormat/>
    <w:rsid w:val="00682A57"/>
    <w:rPr>
      <w:b w:val="0"/>
      <w:sz w:val="24"/>
      <w:szCs w:val="32"/>
    </w:rPr>
  </w:style>
  <w:style w:type="character" w:customStyle="1" w:styleId="TitleAddChar">
    <w:name w:val="TitleAdd Char"/>
    <w:basedOn w:val="TitleChar"/>
    <w:link w:val="TitleAdd"/>
    <w:rsid w:val="00682A57"/>
    <w:rPr>
      <w:sz w:val="24"/>
      <w:szCs w:val="32"/>
    </w:rPr>
  </w:style>
  <w:style w:type="character" w:customStyle="1" w:styleId="CommentTextChar">
    <w:name w:val="Comment Text Char"/>
    <w:basedOn w:val="DefaultParagraphFont"/>
    <w:link w:val="CommentText"/>
    <w:uiPriority w:val="99"/>
    <w:rsid w:val="00B253DF"/>
    <w:rPr>
      <w:rFonts w:ascii="Times New Roman" w:hAnsi="Times New Roman"/>
    </w:rPr>
  </w:style>
  <w:style w:type="table" w:customStyle="1" w:styleId="ItronBasic">
    <w:name w:val="ItronBasic"/>
    <w:basedOn w:val="TableNormal"/>
    <w:uiPriority w:val="99"/>
    <w:qFormat/>
    <w:rsid w:val="00B2276F"/>
    <w:pPr>
      <w:spacing w:after="0" w:line="240" w:lineRule="auto"/>
      <w:ind w:left="0" w:firstLine="0"/>
      <w:jc w:val="left"/>
    </w:p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hemeFill="background1" w:themeFillShade="D9"/>
      </w:tcPr>
    </w:tblStylePr>
  </w:style>
  <w:style w:type="table" w:styleId="TableProfessional">
    <w:name w:val="Table Professional"/>
    <w:basedOn w:val="TableNormal"/>
    <w:rsid w:val="0050194C"/>
    <w:pPr>
      <w:spacing w:after="280"/>
      <w:ind w:left="0" w:firstLine="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rsid w:val="0050194C"/>
    <w:pPr>
      <w:autoSpaceDE w:val="0"/>
      <w:autoSpaceDN w:val="0"/>
      <w:adjustRightInd w:val="0"/>
      <w:spacing w:after="0" w:line="240" w:lineRule="auto"/>
      <w:ind w:left="0" w:firstLine="0"/>
      <w:jc w:val="left"/>
    </w:pPr>
    <w:rPr>
      <w:rFonts w:ascii="Times New Roman" w:eastAsiaTheme="minorHAnsi" w:hAnsi="Times New Roman"/>
      <w:color w:val="000000"/>
      <w:sz w:val="24"/>
      <w:szCs w:val="24"/>
    </w:rPr>
  </w:style>
  <w:style w:type="paragraph" w:styleId="Revision">
    <w:name w:val="Revision"/>
    <w:hidden/>
    <w:uiPriority w:val="99"/>
    <w:semiHidden/>
    <w:rsid w:val="00FF6CE8"/>
    <w:pPr>
      <w:spacing w:after="0" w:line="240" w:lineRule="auto"/>
      <w:ind w:left="0" w:firstLine="0"/>
      <w:jc w:val="left"/>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84419769">
      <w:bodyDiv w:val="1"/>
      <w:marLeft w:val="0"/>
      <w:marRight w:val="0"/>
      <w:marTop w:val="0"/>
      <w:marBottom w:val="0"/>
      <w:divBdr>
        <w:top w:val="none" w:sz="0" w:space="0" w:color="auto"/>
        <w:left w:val="none" w:sz="0" w:space="0" w:color="auto"/>
        <w:bottom w:val="none" w:sz="0" w:space="0" w:color="auto"/>
        <w:right w:val="none" w:sz="0" w:space="0" w:color="auto"/>
      </w:divBdr>
    </w:div>
    <w:div w:id="43135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Office_Excel_Worksheet1.xls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Office_Excel_Worksheet3.xls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Office_Excel_Worksheet2.xlsx"/><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package" Target="embeddings/Microsoft_Office_Excel_Worksheet4.xlsx"/><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589C9-5B29-4549-9FF9-2CAC59B9D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1696</Words>
  <Characters>9278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Itron</Company>
  <LinksUpToDate>false</LinksUpToDate>
  <CharactersWithSpaces>10953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Messenger, Mike</dc:creator>
  <cp:lastModifiedBy>S L Harris</cp:lastModifiedBy>
  <cp:revision>4</cp:revision>
  <cp:lastPrinted>2009-01-22T17:29:00Z</cp:lastPrinted>
  <dcterms:created xsi:type="dcterms:W3CDTF">2011-10-28T18:12:00Z</dcterms:created>
  <dcterms:modified xsi:type="dcterms:W3CDTF">2011-10-28T23:03:00Z</dcterms:modified>
</cp:coreProperties>
</file>